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18"/>
        <w:gridCol w:w="7325"/>
        <w:gridCol w:w="2085"/>
        <w:tblGridChange w:id="0">
          <w:tblGrid>
            <w:gridCol w:w="3018"/>
            <w:gridCol w:w="7325"/>
            <w:gridCol w:w="2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806856" cy="351265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EDUCATIVO: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LICENCIATURA EN INGENIERÍA EN TECNOLOGÍAS DE LA INFORMACIÓN E INNOVACIÓN DIGITAL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after="160" w:line="259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 COMPETENCIAS PROFESIONALES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b w:val="1"/>
                <w:color w:val="3e7065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69157" cy="58007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e7065"/>
                <w:sz w:val="24"/>
                <w:szCs w:val="24"/>
                <w:rtl w:val="0"/>
              </w:rPr>
              <w:t xml:space="preserve">       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3e7065"/>
          <w:sz w:val="24"/>
          <w:szCs w:val="24"/>
        </w:rPr>
      </w:pP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PROGRAMA DE ASIGNATURA: </w:t>
      </w:r>
      <w:r w:rsidDel="00000000" w:rsidR="00000000" w:rsidRPr="00000000">
        <w:rPr>
          <w:color w:val="3e7065"/>
          <w:sz w:val="24"/>
          <w:szCs w:val="24"/>
          <w:rtl w:val="0"/>
        </w:rPr>
        <w:t xml:space="preserve">___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APLICACIONES WEB ORIENTADAS A SERVICIOS______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     CLAVE:_______</w:t>
      </w:r>
      <w:r w:rsidDel="00000000" w:rsidR="00000000" w:rsidRPr="00000000">
        <w:rPr>
          <w:b w:val="1"/>
          <w:color w:val="3e7065"/>
          <w:sz w:val="24"/>
          <w:szCs w:val="24"/>
          <w:u w:val="single"/>
          <w:rtl w:val="0"/>
        </w:rPr>
        <w:t xml:space="preserve">AWO</w:t>
      </w:r>
      <w:r w:rsidDel="00000000" w:rsidR="00000000" w:rsidRPr="00000000">
        <w:rPr>
          <w:b w:val="1"/>
          <w:color w:val="3e7065"/>
          <w:sz w:val="24"/>
          <w:szCs w:val="24"/>
          <w:rtl w:val="0"/>
        </w:rPr>
        <w:t xml:space="preserve">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ffffff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365"/>
        <w:gridCol w:w="285"/>
        <w:gridCol w:w="1245"/>
        <w:gridCol w:w="2340"/>
        <w:gridCol w:w="2820"/>
        <w:gridCol w:w="2865"/>
        <w:tblGridChange w:id="0">
          <w:tblGrid>
            <w:gridCol w:w="1560"/>
            <w:gridCol w:w="1365"/>
            <w:gridCol w:w="285"/>
            <w:gridCol w:w="1245"/>
            <w:gridCol w:w="2340"/>
            <w:gridCol w:w="2820"/>
            <w:gridCol w:w="286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de aprendizaje de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El estudiante desarrollará aplicaciones web con acceso a base de datos implementando programación orientada a objetos para su publicación y distribución en internet.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3e7065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Competencia a la que contribuye la asignatura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 Tipo de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Cuatrimestre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por semana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Específica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5.625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Escolarizada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124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1"/>
        <w:gridCol w:w="2635"/>
        <w:gridCol w:w="2510"/>
        <w:gridCol w:w="2722"/>
        <w:tblGridChange w:id="0">
          <w:tblGrid>
            <w:gridCol w:w="4561"/>
            <w:gridCol w:w="2635"/>
            <w:gridCol w:w="2510"/>
            <w:gridCol w:w="272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Unidades de Aprendizaje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</w:p>
        </w:tc>
        <w:tc>
          <w:tcPr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al desarrollo web orientado a servicios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51" w:right="0" w:hanging="35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Implementación de interfaces de programación de aplicaciones de terceros (APIS)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9" w:right="0" w:hanging="29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Desarrollo de una interfaz de programación de aplicaciones (API).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9" w:right="0" w:hanging="29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Totales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3e706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3255"/>
        <w:gridCol w:w="5850"/>
        <w:tblGridChange w:id="0">
          <w:tblGrid>
            <w:gridCol w:w="3255"/>
            <w:gridCol w:w="3255"/>
            <w:gridCol w:w="5850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Funciones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Capacidades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Criterios de Desempeño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Diseñar soluciones tecnológicas web y móviles con base en un análisis, utilizando algoritmos y estructuras de datos eficientes, patrones de diseño, base de datos, experiencia de usuario, metodologías y estándares con el fin de satisfacer los requerimientos considerados por la empresa.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Realizar el análisis de los requerimientos del software utilizando estándares y técnicas de recopilación de información para el levantamiento, la validación y la especificación de los requerimientos que representen las necesidades del cliente.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análisis de los requerimientos de software que documente: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- La identificación de flujos de datos del problema.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- Identificación de eventos(casos de uso).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 Identificar y determinar los requerimientos, tanto funcionales como no funcionales.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 Identificación del alcance.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 Validación de requisitos para asegurar su precisión, completitud y consistencia.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- Verificar que los requisitos sean factibles de implementar con las tecnologías disponibles.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- Identificar y gestionar los riesgos asociados a los requisitos.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Realizar el diseño funcional y arquitectónico de la aplicación utilizando herramientas, estructuras de datos y patrones de diseño para definir la representación física y lógica de la solución.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diseño del software utilizando diagramas UML que documente: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definición de las funcionalidades de la aplicación y su organización en módulos independientes.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descripción de los pasos que los usuarios seguirán para realizar las diferentes tareas dentro de la aplicación.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especificación de las reglas y lógica que gobiernan el comportamiento de la aplicación(Reglas del Negocio).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Arquitectura y Patrones de diseño.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identificación de los componentes y servicios que conforman la aplicación y cómo interactúan entre sí.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 las tecnologías y frameworks que se utilizarán para desarrollar la aplicación.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417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  la estructura de datos adecuada para representar y organizar la información eficientemente en la aplicación.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Diseñar la interfaz de usuario de la aplicación utilizando estándares y criterios de usabilidad para mejorar la experiencia de usuario.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diseño de las interfaces que incluya mockups con los componentes de diseño y control del software que documente: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El diseño de la interfaz incluyendo pantallas, formularios, menús, etc.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El diseño visual, incluyendo estética (uso de colores, tipografía e imágenes), consistencia y claridad.</w:t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interactividad, incluyendo la navegación, mensajes informativos al usuario.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accesibilidad, considerando la adaptabilidad a diferentes dispositivos y tamaños de pantalla, tecnologías de asistencia y legibilidad.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usabilidad, considerando simplicidad, eficiencia, ayuda y soporte.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Diseñar base de datos relacionales utilizando software de diseño y gestores de base de datos para representar la estructura de la información asegurando la consistencia de datos.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sobre el diseño de base de datos relacionales que documente: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El Modelado de Datos, identificando entidades, relaciones y sus atributos, la normalización, la identificación de claves primarias y foráneas.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El Modelo relacional, definiendo atributos, seleccionando el tipo de dato, definiendo claves para las relaciones entre tablas.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implementación de restricciones de integridad para garantizar la calidad de los datos.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Los diagramas para visualizar el diseño de la base de datos haciendo uso de herramientas CASE.</w:t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 selección del gestor de base de datos adecuado.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Las sentencias SQL utilizadas para crear, modificar y consultar datos en la base de datos.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Implementar soluciones tecnológicas web y móviles utilizando frameworks, bases de datos, entornos de desarrollo, herramientas de control de versiones, herramientas y plataforma de despliegue que satisfagan las necesidades del cliente.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Implementar aplicaciones web utilizando herramientas, frameworks de front-end y back-end, con conexión a base de datos, hosting y servicios en la nube para garantizar el acceso a la información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Integrar un reporte técnico que documente la implementación de aplicaciones web que contenga lo siguiente: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Introducción: Descripción del problema o necesidad que la aplicación web busca resolver, objetivos de la aplicación web y un resumen de la aplicación web, incluyendo sus funcionalidades y características principales.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Herramientas y frameworks de front-end y back-end utilizados.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Bases de datos y sistemas de gestión de bases de datos.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Hosting y servicios en la nube.</w:t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Diseño de la aplicación: Arquitectura de la aplicación web, incluyendo la separación de capas, el flujo de datos y la gestión de usuarios.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Diseño de la interfaz de usuario.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Diagramas de flujo y casos de uso.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Selección de las herramientas, frameworks y tecnologías utilizadas.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Descripción del proceso de desarrollo de la aplicación web.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Pruebas y validación de la aplicación web.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445"/>
              </w:tabs>
              <w:rPr/>
            </w:pPr>
            <w:r w:rsidDel="00000000" w:rsidR="00000000" w:rsidRPr="00000000">
              <w:rPr>
                <w:rtl w:val="0"/>
              </w:rPr>
              <w:t xml:space="preserve">- Conclusiones.</w:t>
            </w:r>
          </w:p>
        </w:tc>
      </w:tr>
    </w:tbl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3e7065"/>
          <w:sz w:val="28"/>
          <w:szCs w:val="28"/>
        </w:rPr>
      </w:pPr>
      <w:r w:rsidDel="00000000" w:rsidR="00000000" w:rsidRPr="00000000">
        <w:rPr>
          <w:b w:val="1"/>
          <w:color w:val="3e7065"/>
          <w:sz w:val="28"/>
          <w:szCs w:val="28"/>
          <w:rtl w:val="0"/>
        </w:rPr>
        <w:t xml:space="preserve">UNIDADES DE APRENDIZAJE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38" w:right="0" w:hanging="295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Introducción al desarrollo web orientado a servicios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identificará la arquitectura para el desarrollo de aplicaciones orientadas a servicios.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Paradigma del desarrollo de aplicaciones orientadas a servicios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Distinguir los servicios que se ofrecen en la nube.</w:t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las características de las aplicaciones orientadas a servicios.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el concepto y las características de las aplicaciones Web </w:t>
            </w:r>
            <w:r w:rsidDel="00000000" w:rsidR="00000000" w:rsidRPr="00000000">
              <w:rPr>
                <w:rtl w:val="0"/>
              </w:rPr>
              <w:t xml:space="preserve">híbridas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(Mashup).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Documentar las ventajas de la arquitectura orientada a servicios.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Fomentar la habilidad de investigación de manera individual y en equipo en la selección de los paradigmas del desarrollo de aplicaciones orientadas a servicios para distinguir cada uno de estos.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Promover la gestión de información de la arquitectura orientada a servicios para  identificar los procesos de buenas prácticas de diseño para mejorar la calidad del desarrollo de los diagramas de aplicaciones en la arquitectura SOA.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Arquitectura orientada a servicios (SOA)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la arquitectura orientada a servicios.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los principios de diseño que se aplican a sobre cada servicio modelado.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los estándares relacionados a los servicios: XML, SOAP, WSDL, UDDI,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REST.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Desarrollar diagramas de aplicaciones orientadas a servicios que integren los elementos de la arquitectura SOA.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Mapas Conceptuales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Equipos Colaborativos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Análisis de Casos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Computadoras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Proyectores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Pizarras digitales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Elementos Multimedia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Bibliografías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Plataformas educativas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desarrollan diagramas de aplicaciones orientadas a servicios bajo la arquitectura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SOA que incluya las cuatro capas: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• La capa de acceso.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• La capa de procesos.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• La capa de servicio.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• La capa de recursos.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una investigación con tutoría analizar y construir un organizador gráfico de los diferentes diagramas de aplicaciones orientada a servicios.</w:t>
            </w:r>
          </w:p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una investigación con tutoría analizar y desarrollar un reporte que incluya  las características de las aplicaciones Web orientadas a servicios.</w:t>
            </w:r>
          </w:p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un aprendizaje basado en problemas/soluciones desarrollar un reporte que incluya el procedimiento de  la arquitectura orientada a servicios (SOA).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Guía de observación</w:t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313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Implementación de interfaces de programación de aplicaciones de terceros (APIS)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utilizará las </w:t>
            </w:r>
            <w:r w:rsidDel="00000000" w:rsidR="00000000" w:rsidRPr="00000000">
              <w:rPr>
                <w:color w:val="000000"/>
                <w:rtl w:val="0"/>
              </w:rPr>
              <w:t xml:space="preserve">API's</w:t>
            </w:r>
            <w:r w:rsidDel="00000000" w:rsidR="00000000" w:rsidRPr="00000000">
              <w:rPr>
                <w:color w:val="000000"/>
                <w:rtl w:val="0"/>
              </w:rPr>
              <w:t xml:space="preserve"> para programar aplicaciones orientadas a servicios.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Geolocalización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en el intercambio de información entre aplicaciones de geolocalización.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del lenguaje de programación necesarios para el uso de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geolocalización.</w:t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Programar aplicaciones con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geolocalización.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Cultivar la capacidad de razonamiento crítico para identificar cada una de las </w:t>
            </w:r>
            <w:r w:rsidDel="00000000" w:rsidR="00000000" w:rsidRPr="00000000">
              <w:rPr>
                <w:rtl w:val="0"/>
              </w:rPr>
              <w:t xml:space="preserve">apis</w:t>
            </w:r>
            <w:r w:rsidDel="00000000" w:rsidR="00000000" w:rsidRPr="00000000">
              <w:rPr>
                <w:rtl w:val="0"/>
              </w:rPr>
              <w:t xml:space="preserve"> utilizadas en los servicios web.</w:t>
            </w:r>
          </w:p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Incentivar la creatividad al explorar diferentes enfoques en el intercambio de información con las diferentes API’s que utilizan los servicios web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Redes sociales</w:t>
            </w:r>
          </w:p>
        </w:tc>
        <w:tc>
          <w:tcPr/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API's en el intercambio de información entre aplicaciones de redes</w:t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sociales.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del lenguaje de programación necesarios para el uso de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redes sociales.</w:t>
            </w:r>
          </w:p>
        </w:tc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Programar aplicaciones con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redes sociales.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Bases de datos</w:t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API's en el intercambio de información entre aplicaciones de bases</w:t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de datos.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del lenguaje de programación necesarios para el uso de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bases de datos.</w:t>
            </w:r>
          </w:p>
        </w:tc>
        <w:tc>
          <w:tcPr/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Programar aplicaciones con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bases de datos.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Plataformas online</w:t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en el intercambio de información entre aplicaciones de plataformas on line.</w:t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del lenguaje de programación necesarios para el uso de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plataformas on line.</w:t>
            </w:r>
          </w:p>
        </w:tc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Programar aplicaciones con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plataformas online.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Plataformas streaming</w:t>
            </w:r>
          </w:p>
        </w:tc>
        <w:tc>
          <w:tcPr/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Identificar las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en el intercambio de información entre aplicaciones de plataformas streaming.</w:t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Identificar los elementos del lenguaje de programación necesarios para el uso de plataformas streaming.</w:t>
            </w:r>
          </w:p>
        </w:tc>
        <w:tc>
          <w:tcPr/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Programar aplicaciones con </w:t>
            </w: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de plataformas streaming.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Mapas Conceptuales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Equipos Colaborativos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Análisis de Casos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Computadoras</w:t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Proyectores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Pizarrones</w:t>
            </w:r>
            <w:r w:rsidDel="00000000" w:rsidR="00000000" w:rsidRPr="00000000">
              <w:rPr>
                <w:rtl w:val="0"/>
              </w:rPr>
              <w:t xml:space="preserve"> digitales</w:t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Elementos Multimedia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Bibliografías</w:t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Plataformas educativas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510.0" w:type="dxa"/>
        <w:jc w:val="left"/>
        <w:tblInd w:w="-75.0" w:type="dxa"/>
        <w:tblLayout w:type="fixed"/>
        <w:tblLook w:val="0400"/>
      </w:tblPr>
      <w:tblGrid>
        <w:gridCol w:w="4885"/>
        <w:gridCol w:w="4235"/>
        <w:gridCol w:w="3390"/>
        <w:tblGridChange w:id="0">
          <w:tblGrid>
            <w:gridCol w:w="4885"/>
            <w:gridCol w:w="4235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identifican la aplicación y uso de de API's de: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• Geolocalización.</w:t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• Redes sociales.</w:t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• Bases de datos.</w:t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• Plataformas on line.</w:t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• Plataformas streaming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en aplicaciones web orientadas a servicios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aprendizaje basado en problemas/soluciones </w:t>
            </w:r>
            <w:r w:rsidDel="00000000" w:rsidR="00000000" w:rsidRPr="00000000">
              <w:rPr>
                <w:rtl w:val="0"/>
              </w:rPr>
              <w:t xml:space="preserve">conformará</w:t>
            </w:r>
            <w:r w:rsidDel="00000000" w:rsidR="00000000" w:rsidRPr="00000000">
              <w:rPr>
                <w:color w:val="000000"/>
                <w:rtl w:val="0"/>
              </w:rPr>
              <w:t xml:space="preserve"> un portafolio de evidencias que contenga los entregables de las fases de </w:t>
            </w:r>
            <w:r w:rsidDel="00000000" w:rsidR="00000000" w:rsidRPr="00000000">
              <w:rPr>
                <w:rtl w:val="0"/>
              </w:rPr>
              <w:t xml:space="preserve">análisis</w:t>
            </w:r>
            <w:r w:rsidDel="00000000" w:rsidR="00000000" w:rsidRPr="00000000">
              <w:rPr>
                <w:color w:val="000000"/>
                <w:rtl w:val="0"/>
              </w:rPr>
              <w:t xml:space="preserve">, diseño, desarrollo y pruebas de las siguientes API's:</w:t>
            </w:r>
          </w:p>
          <w:p w:rsidR="00000000" w:rsidDel="00000000" w:rsidP="00000000" w:rsidRDefault="00000000" w:rsidRPr="00000000" w14:paraId="000001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Geolocalización.</w:t>
            </w:r>
          </w:p>
          <w:p w:rsidR="00000000" w:rsidDel="00000000" w:rsidP="00000000" w:rsidRDefault="00000000" w:rsidRPr="00000000" w14:paraId="000001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Redes sociales.</w:t>
            </w:r>
          </w:p>
          <w:p w:rsidR="00000000" w:rsidDel="00000000" w:rsidP="00000000" w:rsidRDefault="00000000" w:rsidRPr="00000000" w14:paraId="000001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Bases de datos.</w:t>
            </w:r>
          </w:p>
          <w:p w:rsidR="00000000" w:rsidDel="00000000" w:rsidP="00000000" w:rsidRDefault="00000000" w:rsidRPr="00000000" w14:paraId="000001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Plataformas on line.</w:t>
            </w:r>
          </w:p>
          <w:p w:rsidR="00000000" w:rsidDel="00000000" w:rsidP="00000000" w:rsidRDefault="00000000" w:rsidRPr="00000000" w14:paraId="000001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Plataformas streaming.</w:t>
            </w:r>
          </w:p>
          <w:p w:rsidR="00000000" w:rsidDel="00000000" w:rsidP="00000000" w:rsidRDefault="00000000" w:rsidRPr="00000000" w14:paraId="000001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Funcionamiento de las </w:t>
            </w:r>
            <w:r w:rsidDel="00000000" w:rsidR="00000000" w:rsidRPr="00000000">
              <w:rPr>
                <w:color w:val="000000"/>
                <w:rtl w:val="0"/>
              </w:rPr>
              <w:t xml:space="preserve">API's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Guía de observación</w:t>
            </w:r>
          </w:p>
        </w:tc>
      </w:tr>
    </w:tbl>
    <w:p w:rsidR="00000000" w:rsidDel="00000000" w:rsidP="00000000" w:rsidRDefault="00000000" w:rsidRPr="00000000" w14:paraId="000001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42" w:right="0" w:hanging="313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Desarrollo de una interfaz de programación de aplicaciones (API).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utilizará frameworks para desarrollar aplicaciones web que permitan consumir servicios para satisfacer las necesidades del cliente.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0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411"/>
        <w:gridCol w:w="2664"/>
        <w:tblGridChange w:id="0">
          <w:tblGrid>
            <w:gridCol w:w="2610"/>
            <w:gridCol w:w="3825"/>
            <w:gridCol w:w="3411"/>
            <w:gridCol w:w="2664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Frameworks para el desarrollo de interfaces de programación de aplicaciones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frameworks en el desarrollo de aplicaciones orientadas a servicios.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Programar aplicaciones que utilicen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API's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para conexión a servicios utilizando un framework de desarrollo.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Fomentar la habilidad de investigación de manera individual y en equipo en la selección de los framework de desarrollo de interfaces de programación de aplicaciones</w:t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Promover la gestión de información de en equipos de desarrollo identificando los procesos de buenas prácticas de programación de aplicaciones.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  <w:t xml:space="preserve">Desarrollo de una interfaz de programación de aplicaciones (API)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el proceso de desarrollo de programación de aplicaciones (API)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Desarrollar interfaces de programación de aplicaciones (API)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Mapas Conceptuales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Equipos Colaborativos</w:t>
            </w:r>
          </w:p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  <w:t xml:space="preserve">Análisis de Casos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Computadoras</w:t>
            </w:r>
          </w:p>
          <w:p w:rsidR="00000000" w:rsidDel="00000000" w:rsidP="00000000" w:rsidRDefault="00000000" w:rsidRPr="00000000" w14:paraId="00000198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Proyectores</w:t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9A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19B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Pizarrones</w:t>
            </w:r>
            <w:r w:rsidDel="00000000" w:rsidR="00000000" w:rsidRPr="00000000">
              <w:rPr>
                <w:rtl w:val="0"/>
              </w:rPr>
              <w:t xml:space="preserve"> digitales</w:t>
            </w:r>
          </w:p>
          <w:p w:rsidR="00000000" w:rsidDel="00000000" w:rsidP="00000000" w:rsidRDefault="00000000" w:rsidRPr="00000000" w14:paraId="0000019C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Elementos Multimedia</w:t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Bibliografías</w:t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Plataformas educativas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comprenden la aplicación y uso de los frameworks para el desarrollo de interfaces de programación de aplicaciones (API’s)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aprendizaje basado en problemas/soluciones </w:t>
            </w:r>
            <w:r w:rsidDel="00000000" w:rsidR="00000000" w:rsidRPr="00000000">
              <w:rPr>
                <w:rtl w:val="0"/>
              </w:rPr>
              <w:t xml:space="preserve">conformará</w:t>
            </w:r>
            <w:r w:rsidDel="00000000" w:rsidR="00000000" w:rsidRPr="00000000">
              <w:rPr>
                <w:color w:val="000000"/>
                <w:rtl w:val="0"/>
              </w:rPr>
              <w:t xml:space="preserve"> un  portafolio de evidencias que contenga:</w:t>
            </w:r>
          </w:p>
          <w:p w:rsidR="00000000" w:rsidDel="00000000" w:rsidP="00000000" w:rsidRDefault="00000000" w:rsidRPr="00000000" w14:paraId="000001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Lenguaje de programación y el </w:t>
            </w:r>
            <w:r w:rsidDel="00000000" w:rsidR="00000000" w:rsidRPr="00000000">
              <w:rPr>
                <w:rtl w:val="0"/>
              </w:rPr>
              <w:t xml:space="preserve">Framework utilizado</w:t>
            </w:r>
            <w:r w:rsidDel="00000000" w:rsidR="00000000" w:rsidRPr="00000000">
              <w:rPr>
                <w:color w:val="000000"/>
                <w:rtl w:val="0"/>
              </w:rPr>
              <w:t xml:space="preserve"> para el desarrollo.</w:t>
            </w:r>
          </w:p>
          <w:p w:rsidR="00000000" w:rsidDel="00000000" w:rsidP="00000000" w:rsidRDefault="00000000" w:rsidRPr="00000000" w14:paraId="000001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Elementos que componen una </w:t>
            </w:r>
            <w:r w:rsidDel="00000000" w:rsidR="00000000" w:rsidRPr="00000000">
              <w:rPr>
                <w:rtl w:val="0"/>
              </w:rPr>
              <w:t xml:space="preserve">aplicación</w:t>
            </w:r>
            <w:r w:rsidDel="00000000" w:rsidR="00000000" w:rsidRPr="00000000">
              <w:rPr>
                <w:color w:val="000000"/>
                <w:rtl w:val="0"/>
              </w:rPr>
              <w:t xml:space="preserve"> Web orientada a servicios.</w:t>
            </w:r>
          </w:p>
          <w:p w:rsidR="00000000" w:rsidDel="00000000" w:rsidP="00000000" w:rsidRDefault="00000000" w:rsidRPr="00000000" w14:paraId="000001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API's desarrolladas en el framework seleccionado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1B2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Guía de observación</w:t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7"/>
        <w:tblW w:w="1248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1530"/>
        <w:gridCol w:w="1440"/>
        <w:gridCol w:w="2355"/>
        <w:gridCol w:w="1935"/>
        <w:gridCol w:w="1620"/>
        <w:gridCol w:w="1395"/>
        <w:tblGridChange w:id="0">
          <w:tblGrid>
            <w:gridCol w:w="2205"/>
            <w:gridCol w:w="1530"/>
            <w:gridCol w:w="1440"/>
            <w:gridCol w:w="2355"/>
            <w:gridCol w:w="1935"/>
            <w:gridCol w:w="1620"/>
            <w:gridCol w:w="1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Unidad de Aprendizaje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38" w:right="0" w:hanging="295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Propósito esperado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 estudiante integrará una aplicación orientada a servicios para satisfacer las necesidades del cliente.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Tiempo Asignado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4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6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del Saber Hacer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Horas Totales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25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3825"/>
        <w:gridCol w:w="3375"/>
        <w:gridCol w:w="2700"/>
        <w:tblGridChange w:id="0">
          <w:tblGrid>
            <w:gridCol w:w="2610"/>
            <w:gridCol w:w="3825"/>
            <w:gridCol w:w="3375"/>
            <w:gridCol w:w="2700"/>
          </w:tblGrid>
        </w:tblGridChange>
      </w:tblGrid>
      <w:tr>
        <w:trPr>
          <w:cantSplit w:val="0"/>
          <w:trHeight w:val="810" w:hRule="atLeast"/>
          <w:tblHeader w:val="1"/>
        </w:trPr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Temas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</w:t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Conceptual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Saber Hacer</w:t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Actuacional</w:t>
            </w:r>
          </w:p>
        </w:tc>
        <w:tc>
          <w:tcPr>
            <w:shd w:fill="3e7065" w:val="clear"/>
            <w:vAlign w:val="center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Ser y Convivir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Dimensión Socioafectiva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Diseño de una aplicación orientada a servicios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el proceso de diseño de una aplicación orientada a servicios.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Implementar aplicaciones Web orientadas a servicios.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Cultivar la capacidad de integración en la implementación de una aplicación orientada a servicios.</w:t>
            </w:r>
          </w:p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Incentivar la creatividad al programar, e implementar una aplicación orientada a servicios en la nube.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Integración de una aplicación orientada a servicios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Identificar el proceso de integración de una aplicación orientada a servicios.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Integrar aplicaciones Web orientadas a servicios.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251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80"/>
        <w:gridCol w:w="4290"/>
        <w:gridCol w:w="2100"/>
        <w:gridCol w:w="840"/>
        <w:tblGridChange w:id="0">
          <w:tblGrid>
            <w:gridCol w:w="5280"/>
            <w:gridCol w:w="4290"/>
            <w:gridCol w:w="2100"/>
            <w:gridCol w:w="84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shd w:fill="3e7065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Enseñanza-Aprendizaje</w:t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Métodos y técnicas de enseñanza</w:t>
            </w:r>
          </w:p>
        </w:tc>
        <w:tc>
          <w:tcPr>
            <w:vMerge w:val="restart"/>
            <w:shd w:fill="434343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Medios y materiales didácticos</w:t>
            </w:r>
          </w:p>
        </w:tc>
        <w:tc>
          <w:tcPr>
            <w:gridSpan w:val="2"/>
            <w:shd w:fill="434343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Espacio Formativo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434343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Aula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tl w:val="0"/>
              </w:rPr>
              <w:t xml:space="preserve">Mapas Conceptuales</w:t>
            </w:r>
          </w:p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tl w:val="0"/>
              </w:rPr>
              <w:t xml:space="preserve">Equipos Colaborativos</w:t>
            </w:r>
          </w:p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Análisis de Casos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Computadoras</w:t>
            </w:r>
          </w:p>
          <w:p w:rsidR="00000000" w:rsidDel="00000000" w:rsidP="00000000" w:rsidRDefault="00000000" w:rsidRPr="00000000" w14:paraId="000001ED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Proyectores</w:t>
            </w:r>
          </w:p>
          <w:p w:rsidR="00000000" w:rsidDel="00000000" w:rsidP="00000000" w:rsidRDefault="00000000" w:rsidRPr="00000000" w14:paraId="000001EE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EF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Pizarrón</w:t>
            </w:r>
          </w:p>
          <w:p w:rsidR="00000000" w:rsidDel="00000000" w:rsidP="00000000" w:rsidRDefault="00000000" w:rsidRPr="00000000" w14:paraId="000001F0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Elementos Multimedia</w:t>
            </w:r>
          </w:p>
          <w:p w:rsidR="00000000" w:rsidDel="00000000" w:rsidP="00000000" w:rsidRDefault="00000000" w:rsidRPr="00000000" w14:paraId="000001F1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Bibliografías</w:t>
            </w:r>
          </w:p>
          <w:p w:rsidR="00000000" w:rsidDel="00000000" w:rsidP="00000000" w:rsidRDefault="00000000" w:rsidRPr="00000000" w14:paraId="000001F2">
            <w:pPr>
              <w:tabs>
                <w:tab w:val="left" w:leader="none" w:pos="1350"/>
              </w:tabs>
              <w:rPr/>
            </w:pPr>
            <w:r w:rsidDel="00000000" w:rsidR="00000000" w:rsidRPr="00000000">
              <w:rPr>
                <w:rtl w:val="0"/>
              </w:rPr>
              <w:t xml:space="preserve">Plataformas educativas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Laboratorio / Taller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b w:val="1"/>
                <w:color w:val="3e7065"/>
              </w:rPr>
            </w:pPr>
            <w:r w:rsidDel="00000000" w:rsidR="00000000" w:rsidRPr="00000000">
              <w:rPr>
                <w:b w:val="1"/>
                <w:color w:val="3e7065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2510.0" w:type="dxa"/>
        <w:jc w:val="left"/>
        <w:tblInd w:w="-75.0" w:type="dxa"/>
        <w:tblLayout w:type="fixed"/>
        <w:tblLook w:val="0400"/>
      </w:tblPr>
      <w:tblGrid>
        <w:gridCol w:w="5040"/>
        <w:gridCol w:w="4080"/>
        <w:gridCol w:w="3390"/>
        <w:tblGridChange w:id="0">
          <w:tblGrid>
            <w:gridCol w:w="5040"/>
            <w:gridCol w:w="4080"/>
            <w:gridCol w:w="3390"/>
          </w:tblGrid>
        </w:tblGridChange>
      </w:tblGrid>
      <w:tr>
        <w:trPr>
          <w:cantSplit w:val="0"/>
          <w:trHeight w:val="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Proceso de Evaluación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Resultado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Evidencia de Aprendizaje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rPr/>
            </w:pPr>
            <w:r w:rsidDel="00000000" w:rsidR="00000000" w:rsidRPr="00000000">
              <w:rPr>
                <w:rtl w:val="0"/>
              </w:rPr>
              <w:t xml:space="preserve">Los estudiantes desarrollan soluciones de software a través de ambientes automatizados de pruebas para</w:t>
            </w:r>
          </w:p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tl w:val="0"/>
              </w:rPr>
              <w:t xml:space="preserve">garantizar que los resultados obtenidos sean</w:t>
            </w:r>
          </w:p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los definidos en los requerimientos.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partir de aprendizaje basado en programación orientada a servicios conformar un  portafolios de evidencias que contenga:</w:t>
            </w:r>
          </w:p>
          <w:p w:rsidR="00000000" w:rsidDel="00000000" w:rsidP="00000000" w:rsidRDefault="00000000" w:rsidRPr="00000000" w14:paraId="0000020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Plan de pruebas</w:t>
            </w:r>
          </w:p>
          <w:p w:rsidR="00000000" w:rsidDel="00000000" w:rsidP="00000000" w:rsidRDefault="00000000" w:rsidRPr="00000000" w14:paraId="000002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Criterios de aceptación</w:t>
            </w:r>
          </w:p>
          <w:p w:rsidR="00000000" w:rsidDel="00000000" w:rsidP="00000000" w:rsidRDefault="00000000" w:rsidRPr="00000000" w14:paraId="0000020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Resultados obtenidos de las pruebas</w:t>
            </w:r>
          </w:p>
          <w:p w:rsidR="00000000" w:rsidDel="00000000" w:rsidP="00000000" w:rsidRDefault="00000000" w:rsidRPr="00000000" w14:paraId="000002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Aprobación de la solución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  <w:p w:rsidR="00000000" w:rsidDel="00000000" w:rsidP="00000000" w:rsidRDefault="00000000" w:rsidRPr="00000000" w14:paraId="00000209">
            <w:pPr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Guía de observación</w:t>
            </w:r>
          </w:p>
        </w:tc>
      </w:tr>
    </w:tbl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252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0"/>
        <w:gridCol w:w="4140"/>
        <w:gridCol w:w="4215"/>
        <w:tblGridChange w:id="0">
          <w:tblGrid>
            <w:gridCol w:w="4170"/>
            <w:gridCol w:w="4140"/>
            <w:gridCol w:w="421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3e7065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Perfil idóneo del docente</w:t>
            </w:r>
          </w:p>
        </w:tc>
      </w:tr>
      <w:tr>
        <w:trPr>
          <w:cantSplit w:val="0"/>
          <w:tblHeader w:val="0"/>
        </w:trPr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académica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Formación Pedagógica</w:t>
            </w:r>
          </w:p>
        </w:tc>
        <w:tc>
          <w:tcPr>
            <w:shd w:fill="434343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Experiencia Profesional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Ing. Tecnologías de la información, Ing. Software, Ing. Sistemas Computacionales, Ing. Informática </w:t>
            </w:r>
          </w:p>
        </w:tc>
        <w:tc>
          <w:tcPr/>
          <w:p w:rsidR="00000000" w:rsidDel="00000000" w:rsidP="00000000" w:rsidRDefault="00000000" w:rsidRPr="00000000" w14:paraId="00000212">
            <w:pPr>
              <w:tabs>
                <w:tab w:val="left" w:leader="none" w:pos="426"/>
              </w:tabs>
              <w:rPr/>
            </w:pPr>
            <w:r w:rsidDel="00000000" w:rsidR="00000000" w:rsidRPr="00000000">
              <w:rPr>
                <w:rtl w:val="0"/>
              </w:rPr>
              <w:t xml:space="preserve">Manejo de herramientas didácticas para enseñanza-aprendizaje, de evaluación, técnicas de manejo de grupos.</w:t>
            </w:r>
          </w:p>
        </w:tc>
        <w:tc>
          <w:tcPr/>
          <w:p w:rsidR="00000000" w:rsidDel="00000000" w:rsidP="00000000" w:rsidRDefault="00000000" w:rsidRPr="00000000" w14:paraId="00000213">
            <w:pPr>
              <w:tabs>
                <w:tab w:val="left" w:leader="none" w:pos="1251"/>
              </w:tabs>
              <w:rPr/>
            </w:pPr>
            <w:r w:rsidDel="00000000" w:rsidR="00000000" w:rsidRPr="00000000">
              <w:rPr>
                <w:rtl w:val="0"/>
              </w:rPr>
              <w:t xml:space="preserve">Desarrollador de aplicaciones web orientada a servicios</w:t>
            </w:r>
          </w:p>
        </w:tc>
      </w:tr>
    </w:tbl>
    <w:p w:rsidR="00000000" w:rsidDel="00000000" w:rsidP="00000000" w:rsidRDefault="00000000" w:rsidRPr="00000000" w14:paraId="0000021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2540.0" w:type="dxa"/>
        <w:jc w:val="left"/>
        <w:tblInd w:w="-45.0" w:type="dxa"/>
        <w:tblLayout w:type="fixed"/>
        <w:tblLook w:val="0400"/>
      </w:tblPr>
      <w:tblGrid>
        <w:gridCol w:w="2355"/>
        <w:gridCol w:w="2355"/>
        <w:gridCol w:w="2355"/>
        <w:gridCol w:w="2184"/>
        <w:gridCol w:w="1656"/>
        <w:gridCol w:w="1635"/>
        <w:tblGridChange w:id="0">
          <w:tblGrid>
            <w:gridCol w:w="2355"/>
            <w:gridCol w:w="2355"/>
            <w:gridCol w:w="2355"/>
            <w:gridCol w:w="2184"/>
            <w:gridCol w:w="1656"/>
            <w:gridCol w:w="163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bibliográficas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Año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Lugar de publicación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ISBN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  <w:t xml:space="preserve">Dennis Ashby and</w:t>
            </w:r>
          </w:p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  <w:t xml:space="preserve">Claus T. Jensen</w:t>
            </w:r>
          </w:p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  <w:t xml:space="preserve">API's</w:t>
            </w:r>
            <w:r w:rsidDel="00000000" w:rsidR="00000000" w:rsidRPr="00000000">
              <w:rPr>
                <w:rtl w:val="0"/>
              </w:rPr>
              <w:t xml:space="preserve"> for dummies.</w:t>
            </w:r>
          </w:p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  <w:t xml:space="preserve">Tercera edición.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  <w:t xml:space="preserve">Estados Unidos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  <w:t xml:space="preserve">John Wiley &amp;</w:t>
            </w:r>
          </w:p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Sons, Inc.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tl w:val="0"/>
              </w:rPr>
              <w:t xml:space="preserve">978111957138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rPr/>
            </w:pPr>
            <w:r w:rsidDel="00000000" w:rsidR="00000000" w:rsidRPr="00000000">
              <w:rPr>
                <w:rtl w:val="0"/>
              </w:rPr>
              <w:t xml:space="preserve">Antonio Luis Cardador Cabello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  <w:t xml:space="preserve">Desarrollo de aplicaciones web distribuidas </w:t>
            </w:r>
            <w:r w:rsidDel="00000000" w:rsidR="00000000" w:rsidRPr="00000000">
              <w:rPr>
                <w:rtl w:val="0"/>
              </w:rPr>
              <w:t xml:space="preserve">UF1846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  <w:t xml:space="preserve">IC Editorial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tl w:val="0"/>
              </w:rPr>
              <w:t xml:space="preserve">978-84-16173-97-6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rPr/>
            </w:pPr>
            <w:r w:rsidDel="00000000" w:rsidR="00000000" w:rsidRPr="00000000">
              <w:rPr>
                <w:rtl w:val="0"/>
              </w:rPr>
              <w:t xml:space="preserve">Lope González Vázquez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Desarrollo web en entorno cliente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  <w:t xml:space="preserve">Editorial: Paraninfo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9788413661179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tl w:val="0"/>
              </w:rPr>
              <w:t xml:space="preserve">Ramón Serrano Valero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  <w:t xml:space="preserve">Diseño de arquitecturas .Net orientadas a microservicios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highlight w:val="white"/>
                <w:rtl w:val="0"/>
              </w:rPr>
              <w:t xml:space="preserve">Marcombo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highlight w:val="white"/>
                <w:rtl w:val="0"/>
              </w:rPr>
              <w:t xml:space="preserve">8426734472, 9788426734471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23"/>
        <w:tblW w:w="12540.0" w:type="dxa"/>
        <w:jc w:val="left"/>
        <w:tblInd w:w="-45.0" w:type="dxa"/>
        <w:tblLayout w:type="fixed"/>
        <w:tblLook w:val="0400"/>
      </w:tblPr>
      <w:tblGrid>
        <w:gridCol w:w="1980"/>
        <w:gridCol w:w="2970"/>
        <w:gridCol w:w="4575"/>
        <w:gridCol w:w="3015"/>
        <w:tblGridChange w:id="0">
          <w:tblGrid>
            <w:gridCol w:w="1980"/>
            <w:gridCol w:w="2970"/>
            <w:gridCol w:w="4575"/>
            <w:gridCol w:w="3015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3e7065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Referencias digitales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Fecha de recuperación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Título del documento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434343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Vínculo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  <w:t xml:space="preserve">Xavier Vilajosana Guillén Leandro Navarro Moldes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tabs>
                <w:tab w:val="left" w:leader="none" w:pos="512"/>
              </w:tabs>
              <w:rPr/>
            </w:pPr>
            <w:r w:rsidDel="00000000" w:rsidR="00000000" w:rsidRPr="00000000">
              <w:rPr>
                <w:rtl w:val="0"/>
              </w:rPr>
              <w:t xml:space="preserve">26 de abril de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  <w:t xml:space="preserve">Arquitectura de aplicaciones web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https://dspace.itsjapon.edu.ec/jspui/bitstream/123456789/465/1/Arquitectura-de-aplicaciones-web-M2.pdf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  <w:t xml:space="preserve">Erick Salinas, Narciso Cerpa, Pablo Rojas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  <w:t xml:space="preserve">26 de abril de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  <w:t xml:space="preserve">Arquitectura orientada a servicios para software de apoyo para el proceso personal de software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  <w:t xml:space="preserve">https://www.scielo.cl/scielo.php?pid=s0718-33052011000100005&amp;script=sci_arttext</w:t>
            </w:r>
          </w:p>
        </w:tc>
      </w:tr>
    </w:tbl>
    <w:p w:rsidR="00000000" w:rsidDel="00000000" w:rsidP="00000000" w:rsidRDefault="00000000" w:rsidRPr="00000000" w14:paraId="000002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2240" w:w="15840" w:orient="landscape"/>
      <w:pgMar w:bottom="851" w:top="102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4"/>
      <w:tblW w:w="12328.0" w:type="dxa"/>
      <w:jc w:val="center"/>
      <w:tblBorders>
        <w:top w:color="000000" w:space="0" w:sz="4" w:val="dotted"/>
        <w:left w:color="000000" w:space="0" w:sz="4" w:val="dotted"/>
        <w:bottom w:color="000000" w:space="0" w:sz="4" w:val="dotted"/>
        <w:right w:color="000000" w:space="0" w:sz="4" w:val="dotted"/>
        <w:insideH w:color="000000" w:space="0" w:sz="4" w:val="dotted"/>
        <w:insideV w:color="000000" w:space="0" w:sz="4" w:val="dotted"/>
      </w:tblBorders>
      <w:tblLayout w:type="fixed"/>
      <w:tblLook w:val="0000"/>
    </w:tblPr>
    <w:tblGrid>
      <w:gridCol w:w="1271"/>
      <w:gridCol w:w="3827"/>
      <w:gridCol w:w="2127"/>
      <w:gridCol w:w="3260"/>
      <w:gridCol w:w="1843"/>
      <w:tblGridChange w:id="0">
        <w:tblGrid>
          <w:gridCol w:w="1271"/>
          <w:gridCol w:w="3827"/>
          <w:gridCol w:w="2127"/>
          <w:gridCol w:w="3260"/>
          <w:gridCol w:w="1843"/>
        </w:tblGrid>
      </w:tblGridChange>
    </w:tblGrid>
    <w:tr>
      <w:trPr>
        <w:cantSplit w:val="0"/>
        <w:trHeight w:val="416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51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bookmarkStart w:colFirst="0" w:colLast="0" w:name="_heading=h.1fob9te" w:id="1"/>
          <w:bookmarkEnd w:id="1"/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ELABORÓ:</w:t>
          </w:r>
        </w:p>
      </w:tc>
      <w:tc>
        <w:tcPr>
          <w:vAlign w:val="center"/>
        </w:tcPr>
        <w:p w:rsidR="00000000" w:rsidDel="00000000" w:rsidP="00000000" w:rsidRDefault="00000000" w:rsidRPr="00000000" w14:paraId="00000252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4"/>
              <w:szCs w:val="14"/>
              <w:rtl w:val="0"/>
            </w:rPr>
            <w:t xml:space="preserve">GRUPO DE TRABAJO DE LA LICENCIATURA EN INGENIERÍA EN TECNOLOGÍAS DE LA INFORMACIÓN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53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REVISÓ: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54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DIRECCIÓN ACADÉMICA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55">
          <w:pPr>
            <w:jc w:val="center"/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F-DA-01-AS-LIC-01</w:t>
          </w:r>
        </w:p>
      </w:tc>
    </w:tr>
    <w:tr>
      <w:trPr>
        <w:cantSplit w:val="0"/>
        <w:trHeight w:val="41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256">
          <w:pPr>
            <w:rPr>
              <w:rFonts w:ascii="Arial" w:cs="Arial" w:eastAsia="Arial" w:hAnsi="Arial"/>
              <w:b w:val="1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APROBÓ:</w:t>
          </w:r>
        </w:p>
      </w:tc>
      <w:tc>
        <w:tcPr>
          <w:vAlign w:val="center"/>
        </w:tcPr>
        <w:p w:rsidR="00000000" w:rsidDel="00000000" w:rsidP="00000000" w:rsidRDefault="00000000" w:rsidRPr="00000000" w14:paraId="00000257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DGUTyP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58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632423"/>
              <w:sz w:val="16"/>
              <w:szCs w:val="16"/>
              <w:rtl w:val="0"/>
            </w:rPr>
            <w:t xml:space="preserve">VIGENTE A PARTIR DE: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59">
          <w:pPr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632423"/>
              <w:sz w:val="16"/>
              <w:szCs w:val="16"/>
              <w:rtl w:val="0"/>
            </w:rPr>
            <w:t xml:space="preserve">SEPTIEMBRE DE 2024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63242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5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4C6E"/>
  </w:style>
  <w:style w:type="paragraph" w:styleId="Piedepgina">
    <w:name w:val="footer"/>
    <w:basedOn w:val="Normal"/>
    <w:link w:val="PiedepginaCar"/>
    <w:uiPriority w:val="99"/>
    <w:unhideWhenUsed w:val="1"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4C6E"/>
  </w:style>
  <w:style w:type="paragraph" w:styleId="Prrafodelista">
    <w:name w:val="List Paragraph"/>
    <w:basedOn w:val="Normal"/>
    <w:uiPriority w:val="34"/>
    <w:qFormat w:val="1"/>
    <w:rsid w:val="007D60A3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871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87161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E0123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SQqXeR4gZdAfSx70/wLMAn2aQ==">CgMxLjAyCGguZ2pkZ3hzMgloLjFmb2I5dGU4AHIhMUFXa29DalRxUVlnWV83S25hZU1rUWpZc1IxSVUwMC04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2024-06-30T01:46:00Z</dcterms:created>
  <dc:creator>Fabiola Aquino Caballero</dc:creator>
</cp:coreProperties>
</file>