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51" w:rsidRDefault="000E7651" w:rsidP="000E7651">
      <w:pPr>
        <w:tabs>
          <w:tab w:val="left" w:pos="-426"/>
        </w:tabs>
        <w:spacing w:after="0" w:line="0" w:lineRule="atLeast"/>
        <w:rPr>
          <w:rFonts w:ascii="Berlin Sans FB Demi" w:hAnsi="Berlin Sans FB Demi"/>
          <w:b/>
          <w:color w:val="FFFFFF" w:themeColor="background1"/>
          <w:sz w:val="48"/>
          <w:szCs w:val="48"/>
          <w:lang w:val="es-ES"/>
        </w:rPr>
      </w:pPr>
      <w:r>
        <w:rPr>
          <w:rFonts w:ascii="Berlin Sans FB Demi" w:hAnsi="Berlin Sans FB Demi"/>
          <w:b/>
          <w:noProof/>
          <w:color w:val="FFFFFF" w:themeColor="background1"/>
          <w:sz w:val="48"/>
          <w:szCs w:val="4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-520700</wp:posOffset>
            </wp:positionH>
            <wp:positionV relativeFrom="paragraph">
              <wp:posOffset>24130</wp:posOffset>
            </wp:positionV>
            <wp:extent cx="6715125" cy="8785860"/>
            <wp:effectExtent l="1905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125" cy="8785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0D2" w:rsidRPr="00E239F3" w:rsidRDefault="00116200" w:rsidP="00116200">
      <w:pPr>
        <w:tabs>
          <w:tab w:val="left" w:pos="-567"/>
        </w:tabs>
        <w:spacing w:after="0" w:line="0" w:lineRule="atLeast"/>
        <w:ind w:left="1558" w:hanging="142"/>
        <w:rPr>
          <w:rFonts w:ascii="Berlin Sans FB Demi" w:hAnsi="Berlin Sans FB Demi"/>
          <w:b/>
          <w:color w:val="FFFFFF" w:themeColor="background1"/>
          <w:sz w:val="54"/>
          <w:szCs w:val="54"/>
        </w:rPr>
      </w:pPr>
      <w:r>
        <w:rPr>
          <w:rFonts w:ascii="Berlin Sans FB Demi" w:hAnsi="Berlin Sans FB Demi"/>
          <w:b/>
          <w:color w:val="FFFFFF" w:themeColor="background1"/>
          <w:sz w:val="54"/>
          <w:szCs w:val="54"/>
        </w:rPr>
        <w:t>Plan de Difusión</w:t>
      </w:r>
    </w:p>
    <w:p w:rsidR="006800D2" w:rsidRPr="009F67F0" w:rsidRDefault="006800D2" w:rsidP="006800D2">
      <w:pPr>
        <w:tabs>
          <w:tab w:val="left" w:pos="-567"/>
        </w:tabs>
        <w:spacing w:after="0" w:line="0" w:lineRule="atLeast"/>
        <w:ind w:left="-425" w:hanging="142"/>
        <w:rPr>
          <w:rFonts w:ascii="Berlin Sans FB Demi" w:hAnsi="Berlin Sans FB Demi"/>
          <w:sz w:val="32"/>
          <w:szCs w:val="32"/>
        </w:rPr>
      </w:pPr>
      <w:proofErr w:type="gramStart"/>
      <w:r w:rsidRPr="009F67F0">
        <w:rPr>
          <w:rFonts w:ascii="Berlin Sans FB Demi" w:hAnsi="Berlin Sans FB Demi"/>
          <w:b/>
          <w:color w:val="FFFFFF" w:themeColor="background1"/>
          <w:sz w:val="32"/>
          <w:szCs w:val="32"/>
        </w:rPr>
        <w:t>del</w:t>
      </w:r>
      <w:proofErr w:type="gramEnd"/>
      <w:r w:rsidRPr="009F67F0">
        <w:rPr>
          <w:rFonts w:ascii="Berlin Sans FB Demi" w:hAnsi="Berlin Sans FB Demi"/>
          <w:b/>
          <w:color w:val="FFFFFF" w:themeColor="background1"/>
          <w:sz w:val="32"/>
          <w:szCs w:val="32"/>
        </w:rPr>
        <w:t xml:space="preserve"> Programa Integral de Fortalecimiento Institucional</w:t>
      </w:r>
      <w:r w:rsidRPr="009F67F0">
        <w:rPr>
          <w:rFonts w:ascii="Berlin Sans FB Demi" w:hAnsi="Berlin Sans FB Demi"/>
          <w:sz w:val="32"/>
          <w:szCs w:val="32"/>
        </w:rPr>
        <w:tab/>
      </w:r>
    </w:p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>
      <w:pPr>
        <w:tabs>
          <w:tab w:val="left" w:pos="1118"/>
        </w:tabs>
      </w:pPr>
    </w:p>
    <w:p w:rsidR="006800D2" w:rsidRDefault="006800D2" w:rsidP="006800D2"/>
    <w:p w:rsidR="006800D2" w:rsidRDefault="006800D2" w:rsidP="006800D2"/>
    <w:p w:rsidR="006800D2" w:rsidRDefault="006800D2" w:rsidP="006800D2"/>
    <w:p w:rsidR="006800D2" w:rsidRDefault="00095892" w:rsidP="006800D2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-285115</wp:posOffset>
            </wp:positionH>
            <wp:positionV relativeFrom="paragraph">
              <wp:posOffset>58420</wp:posOffset>
            </wp:positionV>
            <wp:extent cx="4563745" cy="1327785"/>
            <wp:effectExtent l="0" t="0" r="0" b="0"/>
            <wp:wrapThrough wrapText="bothSides">
              <wp:wrapPolygon edited="0">
                <wp:start x="4869" y="620"/>
                <wp:lineTo x="5049" y="10537"/>
                <wp:lineTo x="90" y="15185"/>
                <wp:lineTo x="180" y="20763"/>
                <wp:lineTo x="2795" y="20763"/>
                <wp:lineTo x="19836" y="20763"/>
                <wp:lineTo x="21459" y="20763"/>
                <wp:lineTo x="21459" y="15185"/>
                <wp:lineTo x="19115" y="13016"/>
                <wp:lineTo x="16590" y="9607"/>
                <wp:lineTo x="16229" y="7438"/>
                <wp:lineTo x="15688" y="5578"/>
                <wp:lineTo x="15869" y="4339"/>
                <wp:lineTo x="15688" y="2479"/>
                <wp:lineTo x="15238" y="620"/>
                <wp:lineTo x="4869" y="620"/>
              </wp:wrapPolygon>
            </wp:wrapThrough>
            <wp:docPr id="14" name="Imagen 9" descr="http://cgut.sep.gob.mx/images/pif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cgut.sep.gob.mx/images/pifi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374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/>
    <w:p w:rsidR="006800D2" w:rsidRDefault="006800D2" w:rsidP="006800D2"/>
    <w:p w:rsidR="00E239F3" w:rsidRDefault="00E239F3" w:rsidP="006800D2"/>
    <w:p w:rsidR="006800D2" w:rsidRDefault="006800D2" w:rsidP="006800D2"/>
    <w:p w:rsidR="006800D2" w:rsidRDefault="006800D2" w:rsidP="006800D2"/>
    <w:p w:rsidR="006800D2" w:rsidRPr="00E239F3" w:rsidRDefault="00E239F3" w:rsidP="00E239F3">
      <w:pPr>
        <w:ind w:left="5664"/>
        <w:rPr>
          <w:b/>
          <w:sz w:val="28"/>
        </w:rPr>
      </w:pPr>
      <w:r w:rsidRPr="00135F95">
        <w:rPr>
          <w:b/>
          <w:sz w:val="28"/>
        </w:rPr>
        <w:t xml:space="preserve">Año </w:t>
      </w:r>
      <w:r w:rsidR="00E75E6F" w:rsidRPr="00135F95">
        <w:rPr>
          <w:b/>
          <w:sz w:val="28"/>
        </w:rPr>
        <w:t>2012</w:t>
      </w:r>
    </w:p>
    <w:p w:rsidR="006800D2" w:rsidRDefault="00095892" w:rsidP="006800D2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-210820</wp:posOffset>
            </wp:positionH>
            <wp:positionV relativeFrom="paragraph">
              <wp:posOffset>95885</wp:posOffset>
            </wp:positionV>
            <wp:extent cx="1029970" cy="890270"/>
            <wp:effectExtent l="19050" t="0" r="0" b="0"/>
            <wp:wrapThrough wrapText="bothSides">
              <wp:wrapPolygon edited="0">
                <wp:start x="-400" y="0"/>
                <wp:lineTo x="-400" y="21261"/>
                <wp:lineTo x="21573" y="21261"/>
                <wp:lineTo x="21573" y="0"/>
                <wp:lineTo x="-400" y="0"/>
              </wp:wrapPolygon>
            </wp:wrapThrough>
            <wp:docPr id="2" name="Imagen 2" descr="http://t0.gstatic.com/images?q=tbn:qVMQpb-Ikn6VAM: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0.gstatic.com/images?q=tbn:qVMQpb-Ikn6VAM: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00D2" w:rsidRDefault="006800D2" w:rsidP="006800D2"/>
    <w:p w:rsidR="006800D2" w:rsidRDefault="006800D2" w:rsidP="006800D2"/>
    <w:p w:rsidR="00116200" w:rsidRPr="00965959" w:rsidRDefault="00E75E6F" w:rsidP="0011620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Plan de </w:t>
      </w:r>
      <w:r w:rsidRPr="00135F95">
        <w:rPr>
          <w:rFonts w:ascii="Arial" w:hAnsi="Arial" w:cs="Arial"/>
          <w:b/>
          <w:sz w:val="24"/>
          <w:szCs w:val="24"/>
        </w:rPr>
        <w:t>Difusión 2012</w:t>
      </w:r>
    </w:p>
    <w:p w:rsidR="00116200" w:rsidRPr="005B18C2" w:rsidRDefault="00116200" w:rsidP="00116200">
      <w:pPr>
        <w:jc w:val="both"/>
        <w:rPr>
          <w:rFonts w:ascii="Arial" w:hAnsi="Arial" w:cs="Arial"/>
        </w:rPr>
      </w:pPr>
    </w:p>
    <w:p w:rsidR="00116200" w:rsidRPr="005B18C2" w:rsidRDefault="00116200" w:rsidP="00116200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5B18C2">
        <w:rPr>
          <w:rFonts w:ascii="Arial" w:hAnsi="Arial" w:cs="Arial"/>
          <w:b/>
        </w:rPr>
        <w:t>Características generales de los apoyos que contempla el programa federal, así como su costo, periodo de ejecución y fecha de entrega.</w:t>
      </w:r>
    </w:p>
    <w:p w:rsidR="00116200" w:rsidRPr="003166EE" w:rsidRDefault="00116200" w:rsidP="0081180D">
      <w:pPr>
        <w:spacing w:after="0"/>
        <w:ind w:left="360"/>
        <w:jc w:val="both"/>
        <w:rPr>
          <w:rFonts w:ascii="Arial" w:hAnsi="Arial" w:cs="Arial"/>
        </w:rPr>
      </w:pPr>
    </w:p>
    <w:p w:rsidR="00116200" w:rsidRPr="00BF19DD" w:rsidRDefault="00116200" w:rsidP="0081180D">
      <w:pPr>
        <w:spacing w:after="0"/>
        <w:ind w:left="357"/>
        <w:jc w:val="both"/>
        <w:rPr>
          <w:rFonts w:ascii="Arial" w:hAnsi="Arial" w:cs="Arial"/>
        </w:rPr>
      </w:pPr>
      <w:r w:rsidRPr="006F745C">
        <w:rPr>
          <w:rFonts w:ascii="Arial" w:hAnsi="Arial" w:cs="Arial"/>
        </w:rPr>
        <w:t xml:space="preserve">La Secretaría de </w:t>
      </w:r>
      <w:r w:rsidRPr="00EE6F47">
        <w:rPr>
          <w:rFonts w:ascii="Arial" w:hAnsi="Arial" w:cs="Arial"/>
        </w:rPr>
        <w:t>Educación Pública (</w:t>
      </w:r>
      <w:r w:rsidRPr="00EE6F47">
        <w:rPr>
          <w:rFonts w:ascii="Arial" w:hAnsi="Arial" w:cs="Arial"/>
          <w:b/>
        </w:rPr>
        <w:t>SEP</w:t>
      </w:r>
      <w:r w:rsidRPr="00EE6F47">
        <w:rPr>
          <w:rFonts w:ascii="Arial" w:hAnsi="Arial" w:cs="Arial"/>
        </w:rPr>
        <w:t xml:space="preserve">), en apego a la disponibilidad presupuestaria, asignará al menos el </w:t>
      </w:r>
      <w:r w:rsidR="00965959" w:rsidRPr="00412BBD">
        <w:rPr>
          <w:rFonts w:ascii="Arial" w:hAnsi="Arial" w:cs="Arial"/>
        </w:rPr>
        <w:t>9</w:t>
      </w:r>
      <w:r w:rsidR="00FB03CE" w:rsidRPr="00412BBD">
        <w:rPr>
          <w:rFonts w:ascii="Arial" w:hAnsi="Arial" w:cs="Arial"/>
        </w:rPr>
        <w:t>0</w:t>
      </w:r>
      <w:r w:rsidR="00965959" w:rsidRPr="00412BBD">
        <w:rPr>
          <w:rFonts w:ascii="Arial" w:hAnsi="Arial" w:cs="Arial"/>
        </w:rPr>
        <w:t>.</w:t>
      </w:r>
      <w:r w:rsidR="00FB03CE" w:rsidRPr="00412BBD">
        <w:rPr>
          <w:rFonts w:ascii="Arial" w:hAnsi="Arial" w:cs="Arial"/>
        </w:rPr>
        <w:t>16</w:t>
      </w:r>
      <w:r w:rsidRPr="00412BBD">
        <w:rPr>
          <w:rFonts w:ascii="Arial" w:hAnsi="Arial" w:cs="Arial"/>
        </w:rPr>
        <w:t>% (</w:t>
      </w:r>
      <w:r w:rsidR="00965959" w:rsidRPr="00412BBD">
        <w:rPr>
          <w:rFonts w:ascii="Arial" w:hAnsi="Arial" w:cs="Arial"/>
        </w:rPr>
        <w:t xml:space="preserve">Noventa punto </w:t>
      </w:r>
      <w:r w:rsidR="00412BBD" w:rsidRPr="00412BBD">
        <w:rPr>
          <w:rFonts w:ascii="Arial" w:hAnsi="Arial" w:cs="Arial"/>
        </w:rPr>
        <w:t>dieciséis</w:t>
      </w:r>
      <w:r w:rsidR="00E75E6F" w:rsidRPr="00412BBD">
        <w:rPr>
          <w:rFonts w:ascii="Arial" w:hAnsi="Arial" w:cs="Arial"/>
        </w:rPr>
        <w:t xml:space="preserve"> por </w:t>
      </w:r>
      <w:r w:rsidR="00965959" w:rsidRPr="00412BBD">
        <w:rPr>
          <w:rFonts w:ascii="Arial" w:hAnsi="Arial" w:cs="Arial"/>
        </w:rPr>
        <w:t>ciento</w:t>
      </w:r>
      <w:r w:rsidRPr="00412BBD">
        <w:rPr>
          <w:rFonts w:ascii="Arial" w:hAnsi="Arial" w:cs="Arial"/>
        </w:rPr>
        <w:t>)</w:t>
      </w:r>
      <w:r w:rsidRPr="00EE6F47">
        <w:rPr>
          <w:rFonts w:ascii="Arial" w:hAnsi="Arial" w:cs="Arial"/>
        </w:rPr>
        <w:t xml:space="preserve"> </w:t>
      </w:r>
      <w:r w:rsidR="00965959" w:rsidRPr="00EE6F47">
        <w:rPr>
          <w:rFonts w:ascii="Arial" w:hAnsi="Arial" w:cs="Arial"/>
        </w:rPr>
        <w:t xml:space="preserve">para financiar los proyectos </w:t>
      </w:r>
      <w:proofErr w:type="spellStart"/>
      <w:r w:rsidR="00E75E6F" w:rsidRPr="00EE6F47">
        <w:rPr>
          <w:rFonts w:ascii="Arial" w:hAnsi="Arial" w:cs="Arial"/>
        </w:rPr>
        <w:t>ProGES</w:t>
      </w:r>
      <w:proofErr w:type="spellEnd"/>
      <w:r w:rsidR="00E75E6F" w:rsidRPr="00EE6F47">
        <w:rPr>
          <w:rFonts w:ascii="Arial" w:hAnsi="Arial" w:cs="Arial"/>
        </w:rPr>
        <w:t xml:space="preserve">, </w:t>
      </w:r>
      <w:proofErr w:type="spellStart"/>
      <w:r w:rsidR="00E75E6F" w:rsidRPr="00EE6F47">
        <w:rPr>
          <w:rFonts w:ascii="Arial" w:hAnsi="Arial" w:cs="Arial"/>
        </w:rPr>
        <w:t>ProDES</w:t>
      </w:r>
      <w:proofErr w:type="spellEnd"/>
      <w:r w:rsidR="00E75E6F" w:rsidRPr="00EE6F47">
        <w:rPr>
          <w:rFonts w:ascii="Arial" w:hAnsi="Arial" w:cs="Arial"/>
        </w:rPr>
        <w:t xml:space="preserve"> y </w:t>
      </w:r>
      <w:proofErr w:type="spellStart"/>
      <w:r w:rsidR="00E75E6F" w:rsidRPr="00EE6F47">
        <w:rPr>
          <w:rFonts w:ascii="Arial" w:hAnsi="Arial" w:cs="Arial"/>
        </w:rPr>
        <w:t>ProFOE</w:t>
      </w:r>
      <w:proofErr w:type="spellEnd"/>
      <w:r w:rsidR="00E75E6F" w:rsidRPr="00EE6F47">
        <w:rPr>
          <w:rFonts w:ascii="Arial" w:hAnsi="Arial" w:cs="Arial"/>
        </w:rPr>
        <w:t xml:space="preserve">,  </w:t>
      </w:r>
      <w:r w:rsidR="00965959" w:rsidRPr="00EE6F47">
        <w:rPr>
          <w:rFonts w:ascii="Arial" w:hAnsi="Arial" w:cs="Arial"/>
        </w:rPr>
        <w:t xml:space="preserve">que </w:t>
      </w:r>
      <w:r w:rsidR="00E75E6F" w:rsidRPr="00EE6F47">
        <w:rPr>
          <w:rFonts w:ascii="Arial" w:hAnsi="Arial" w:cs="Arial"/>
        </w:rPr>
        <w:t>resulten</w:t>
      </w:r>
      <w:r w:rsidR="00965959" w:rsidRPr="00EE6F47">
        <w:rPr>
          <w:rFonts w:ascii="Arial" w:hAnsi="Arial" w:cs="Arial"/>
        </w:rPr>
        <w:t xml:space="preserve"> evaluados favorablemente en el marco de la planeación bienal establecida en las Reglas de Operación 201</w:t>
      </w:r>
      <w:r w:rsidR="00E75E6F" w:rsidRPr="00EE6F47">
        <w:rPr>
          <w:rFonts w:ascii="Arial" w:hAnsi="Arial" w:cs="Arial"/>
        </w:rPr>
        <w:t>2</w:t>
      </w:r>
      <w:r w:rsidR="00965959" w:rsidRPr="00EE6F47">
        <w:rPr>
          <w:rFonts w:ascii="Arial" w:hAnsi="Arial" w:cs="Arial"/>
        </w:rPr>
        <w:t xml:space="preserve"> del</w:t>
      </w:r>
      <w:r w:rsidR="00E75E6F" w:rsidRPr="00EE6F47">
        <w:rPr>
          <w:rFonts w:ascii="Arial" w:hAnsi="Arial" w:cs="Arial"/>
        </w:rPr>
        <w:t xml:space="preserve"> </w:t>
      </w:r>
      <w:r w:rsidR="00965959" w:rsidRPr="00EE6F47">
        <w:rPr>
          <w:rFonts w:ascii="Arial" w:hAnsi="Arial" w:cs="Arial"/>
        </w:rPr>
        <w:t>Programa</w:t>
      </w:r>
      <w:r w:rsidR="00E75E6F" w:rsidRPr="00EE6F47">
        <w:rPr>
          <w:rFonts w:ascii="Arial" w:hAnsi="Arial" w:cs="Arial"/>
        </w:rPr>
        <w:t xml:space="preserve"> </w:t>
      </w:r>
      <w:r w:rsidR="00CF1DED" w:rsidRPr="00EE6F47">
        <w:rPr>
          <w:rFonts w:ascii="Arial" w:hAnsi="Arial" w:cs="Arial"/>
        </w:rPr>
        <w:t>Integral de Fortalecimiento Institucional (</w:t>
      </w:r>
      <w:r w:rsidR="00CF1DED" w:rsidRPr="00EE6F47">
        <w:rPr>
          <w:rFonts w:ascii="Arial" w:hAnsi="Arial" w:cs="Arial"/>
          <w:b/>
        </w:rPr>
        <w:t>PIFI</w:t>
      </w:r>
      <w:r w:rsidR="00CF1DED" w:rsidRPr="00EE6F47">
        <w:rPr>
          <w:rFonts w:ascii="Arial" w:hAnsi="Arial" w:cs="Arial"/>
        </w:rPr>
        <w:t>)</w:t>
      </w:r>
      <w:r w:rsidRPr="00EE6F47">
        <w:rPr>
          <w:rFonts w:ascii="Arial" w:hAnsi="Arial" w:cs="Arial"/>
        </w:rPr>
        <w:t xml:space="preserve">, </w:t>
      </w:r>
      <w:r w:rsidR="00230870" w:rsidRPr="00EE6F47">
        <w:rPr>
          <w:rFonts w:ascii="Arial" w:hAnsi="Arial" w:cs="Arial"/>
        </w:rPr>
        <w:t>el 4.</w:t>
      </w:r>
      <w:r w:rsidR="00E75E6F" w:rsidRPr="00EE6F47">
        <w:rPr>
          <w:rFonts w:ascii="Arial" w:hAnsi="Arial" w:cs="Arial"/>
        </w:rPr>
        <w:t>47</w:t>
      </w:r>
      <w:r w:rsidR="00230870" w:rsidRPr="00EE6F47">
        <w:rPr>
          <w:rFonts w:ascii="Arial" w:hAnsi="Arial" w:cs="Arial"/>
        </w:rPr>
        <w:t xml:space="preserve">% (Cuatro punto </w:t>
      </w:r>
      <w:r w:rsidR="00E75E6F" w:rsidRPr="00EE6F47">
        <w:rPr>
          <w:rFonts w:ascii="Arial" w:hAnsi="Arial" w:cs="Arial"/>
        </w:rPr>
        <w:t>cuarenta y siete</w:t>
      </w:r>
      <w:r w:rsidR="00230870" w:rsidRPr="00EE6F47">
        <w:rPr>
          <w:rFonts w:ascii="Arial" w:hAnsi="Arial" w:cs="Arial"/>
        </w:rPr>
        <w:t xml:space="preserve"> por ciento) </w:t>
      </w:r>
      <w:r w:rsidR="00965959" w:rsidRPr="00EE6F47">
        <w:rPr>
          <w:rFonts w:ascii="Arial" w:hAnsi="Arial" w:cs="Arial"/>
        </w:rPr>
        <w:t xml:space="preserve">para </w:t>
      </w:r>
      <w:r w:rsidR="00E75E6F" w:rsidRPr="00EE6F47">
        <w:rPr>
          <w:rFonts w:ascii="Arial" w:hAnsi="Arial" w:cs="Arial"/>
        </w:rPr>
        <w:t>f</w:t>
      </w:r>
      <w:r w:rsidR="00230870" w:rsidRPr="00EE6F47">
        <w:rPr>
          <w:rFonts w:ascii="Arial" w:hAnsi="Arial" w:cs="Arial"/>
        </w:rPr>
        <w:t>o</w:t>
      </w:r>
      <w:r w:rsidR="00E75E6F" w:rsidRPr="00EE6F47">
        <w:rPr>
          <w:rFonts w:ascii="Arial" w:hAnsi="Arial" w:cs="Arial"/>
        </w:rPr>
        <w:t>m</w:t>
      </w:r>
      <w:r w:rsidR="00230870" w:rsidRPr="00EE6F47">
        <w:rPr>
          <w:rFonts w:ascii="Arial" w:hAnsi="Arial" w:cs="Arial"/>
        </w:rPr>
        <w:t>e</w:t>
      </w:r>
      <w:r w:rsidR="00E75E6F" w:rsidRPr="00EE6F47">
        <w:rPr>
          <w:rFonts w:ascii="Arial" w:hAnsi="Arial" w:cs="Arial"/>
        </w:rPr>
        <w:t>n</w:t>
      </w:r>
      <w:r w:rsidR="00230870" w:rsidRPr="00EE6F47">
        <w:rPr>
          <w:rFonts w:ascii="Arial" w:hAnsi="Arial" w:cs="Arial"/>
        </w:rPr>
        <w:t>t</w:t>
      </w:r>
      <w:r w:rsidR="00E75E6F" w:rsidRPr="00EE6F47">
        <w:rPr>
          <w:rFonts w:ascii="Arial" w:hAnsi="Arial" w:cs="Arial"/>
        </w:rPr>
        <w:t xml:space="preserve">ar la cultura </w:t>
      </w:r>
      <w:r w:rsidR="00230870" w:rsidRPr="00EE6F47">
        <w:rPr>
          <w:rFonts w:ascii="Arial" w:hAnsi="Arial" w:cs="Arial"/>
        </w:rPr>
        <w:t xml:space="preserve">de </w:t>
      </w:r>
      <w:r w:rsidR="00965959" w:rsidRPr="00EE6F47">
        <w:rPr>
          <w:rFonts w:ascii="Arial" w:hAnsi="Arial" w:cs="Arial"/>
        </w:rPr>
        <w:t>perspectiva de género</w:t>
      </w:r>
      <w:r w:rsidR="005B2E60" w:rsidRPr="00EE6F47">
        <w:rPr>
          <w:rFonts w:ascii="Arial" w:hAnsi="Arial" w:cs="Arial"/>
        </w:rPr>
        <w:t xml:space="preserve"> (De acuerdo con el Presupuesto de Egresos de la Federación (PEF)-2011.</w:t>
      </w:r>
      <w:r w:rsidR="005B2E60" w:rsidRPr="00EE6F47">
        <w:rPr>
          <w:rStyle w:val="Refdenotaalpie"/>
          <w:b/>
        </w:rPr>
        <w:footnoteReference w:id="1"/>
      </w:r>
      <w:r w:rsidR="00772EF8" w:rsidRPr="00EE6F47">
        <w:rPr>
          <w:rFonts w:ascii="Arial" w:hAnsi="Arial" w:cs="Arial"/>
        </w:rPr>
        <w:t>),</w:t>
      </w:r>
      <w:r w:rsidR="00965959" w:rsidRPr="00EE6F47">
        <w:rPr>
          <w:rFonts w:ascii="Arial" w:hAnsi="Arial" w:cs="Arial"/>
        </w:rPr>
        <w:t xml:space="preserve"> </w:t>
      </w:r>
      <w:r w:rsidRPr="00EE6F47">
        <w:rPr>
          <w:rFonts w:ascii="Arial" w:hAnsi="Arial" w:cs="Arial"/>
        </w:rPr>
        <w:t xml:space="preserve">hasta el </w:t>
      </w:r>
      <w:r w:rsidR="00965959" w:rsidRPr="00EE6F47">
        <w:rPr>
          <w:rFonts w:ascii="Arial" w:hAnsi="Arial" w:cs="Arial"/>
        </w:rPr>
        <w:t>3.</w:t>
      </w:r>
      <w:r w:rsidR="00CF1DED" w:rsidRPr="00EE6F47">
        <w:rPr>
          <w:rFonts w:ascii="Arial" w:hAnsi="Arial" w:cs="Arial"/>
        </w:rPr>
        <w:t>33</w:t>
      </w:r>
      <w:r w:rsidR="00965959" w:rsidRPr="00EE6F47">
        <w:rPr>
          <w:rFonts w:ascii="Arial" w:hAnsi="Arial" w:cs="Arial"/>
        </w:rPr>
        <w:t xml:space="preserve">% (Tres punto </w:t>
      </w:r>
      <w:r w:rsidR="00CF1DED" w:rsidRPr="00EE6F47">
        <w:rPr>
          <w:rFonts w:ascii="Arial" w:hAnsi="Arial" w:cs="Arial"/>
        </w:rPr>
        <w:t>Treinta y tres</w:t>
      </w:r>
      <w:r w:rsidR="00965959" w:rsidRPr="00EE6F47">
        <w:rPr>
          <w:rFonts w:ascii="Arial" w:hAnsi="Arial" w:cs="Arial"/>
        </w:rPr>
        <w:t xml:space="preserve"> por ciento</w:t>
      </w:r>
      <w:r w:rsidRPr="00EE6F47">
        <w:rPr>
          <w:rFonts w:ascii="Arial" w:hAnsi="Arial" w:cs="Arial"/>
        </w:rPr>
        <w:t>) para el Consorcio Nacional de Recursos de Información Científica y Tecnológica</w:t>
      </w:r>
      <w:r w:rsidR="00965959" w:rsidRPr="00EE6F47">
        <w:rPr>
          <w:rFonts w:ascii="Arial" w:hAnsi="Arial" w:cs="Arial"/>
        </w:rPr>
        <w:t xml:space="preserve">, y hasta el </w:t>
      </w:r>
      <w:r w:rsidR="00CF1DED" w:rsidRPr="00EE6F47">
        <w:rPr>
          <w:rFonts w:ascii="Arial" w:hAnsi="Arial" w:cs="Arial"/>
        </w:rPr>
        <w:t>2</w:t>
      </w:r>
      <w:r w:rsidR="00965959" w:rsidRPr="00EE6F47">
        <w:rPr>
          <w:rFonts w:ascii="Arial" w:hAnsi="Arial" w:cs="Arial"/>
        </w:rPr>
        <w:t>.</w:t>
      </w:r>
      <w:r w:rsidR="00CF1DED" w:rsidRPr="00EE6F47">
        <w:rPr>
          <w:rFonts w:ascii="Arial" w:hAnsi="Arial" w:cs="Arial"/>
        </w:rPr>
        <w:t>0</w:t>
      </w:r>
      <w:r w:rsidR="00965959" w:rsidRPr="00EE6F47">
        <w:rPr>
          <w:rFonts w:ascii="Arial" w:hAnsi="Arial" w:cs="Arial"/>
        </w:rPr>
        <w:t>% (</w:t>
      </w:r>
      <w:r w:rsidR="00CF1DED" w:rsidRPr="00EE6F47">
        <w:rPr>
          <w:rFonts w:ascii="Arial" w:hAnsi="Arial" w:cs="Arial"/>
        </w:rPr>
        <w:t>D</w:t>
      </w:r>
      <w:r w:rsidR="00965959" w:rsidRPr="00EE6F47">
        <w:rPr>
          <w:rFonts w:ascii="Arial" w:hAnsi="Arial" w:cs="Arial"/>
        </w:rPr>
        <w:t>o</w:t>
      </w:r>
      <w:r w:rsidR="00CF1DED" w:rsidRPr="00EE6F47">
        <w:rPr>
          <w:rFonts w:ascii="Arial" w:hAnsi="Arial" w:cs="Arial"/>
        </w:rPr>
        <w:t xml:space="preserve">s </w:t>
      </w:r>
      <w:r w:rsidR="00965959" w:rsidRPr="00EE6F47">
        <w:rPr>
          <w:rFonts w:ascii="Arial" w:hAnsi="Arial" w:cs="Arial"/>
        </w:rPr>
        <w:t xml:space="preserve">punto </w:t>
      </w:r>
      <w:r w:rsidR="00CF1DED" w:rsidRPr="00EE6F47">
        <w:rPr>
          <w:rFonts w:ascii="Arial" w:hAnsi="Arial" w:cs="Arial"/>
        </w:rPr>
        <w:t>cero</w:t>
      </w:r>
      <w:r w:rsidR="00965959" w:rsidRPr="00EE6F47">
        <w:rPr>
          <w:rFonts w:ascii="Arial" w:hAnsi="Arial" w:cs="Arial"/>
        </w:rPr>
        <w:t xml:space="preserve"> por ciento</w:t>
      </w:r>
      <w:r w:rsidRPr="00EE6F47">
        <w:rPr>
          <w:rFonts w:ascii="Arial" w:hAnsi="Arial" w:cs="Arial"/>
        </w:rPr>
        <w:t xml:space="preserve">) será destinado para gastos de operación relacionados con: servicios personales (honorarios), materiales y suministros, servicios generales y bienes muebles, indispensables para apoyar </w:t>
      </w:r>
      <w:r w:rsidR="005B2E60" w:rsidRPr="00EE6F47">
        <w:rPr>
          <w:rFonts w:ascii="Arial" w:hAnsi="Arial" w:cs="Arial"/>
        </w:rPr>
        <w:t>a</w:t>
      </w:r>
      <w:r w:rsidRPr="00EE6F47">
        <w:rPr>
          <w:rFonts w:ascii="Arial" w:hAnsi="Arial" w:cs="Arial"/>
        </w:rPr>
        <w:t xml:space="preserve">l </w:t>
      </w:r>
      <w:r w:rsidR="005B2E60" w:rsidRPr="00EE6F47">
        <w:rPr>
          <w:rFonts w:ascii="Arial" w:hAnsi="Arial" w:cs="Arial"/>
        </w:rPr>
        <w:t xml:space="preserve">Programa </w:t>
      </w:r>
      <w:r w:rsidR="00CF1DED" w:rsidRPr="00EE6F47">
        <w:rPr>
          <w:rFonts w:ascii="Arial" w:hAnsi="Arial" w:cs="Arial"/>
        </w:rPr>
        <w:t xml:space="preserve">PIFI </w:t>
      </w:r>
      <w:r w:rsidRPr="00EE6F47">
        <w:rPr>
          <w:rFonts w:ascii="Arial" w:hAnsi="Arial" w:cs="Arial"/>
        </w:rPr>
        <w:t>para su adecuada implantación</w:t>
      </w:r>
      <w:r w:rsidR="004A7765" w:rsidRPr="00EE6F47">
        <w:rPr>
          <w:rFonts w:ascii="Arial" w:hAnsi="Arial" w:cs="Arial"/>
        </w:rPr>
        <w:t xml:space="preserve">, y hasta el </w:t>
      </w:r>
      <w:r w:rsidR="00330B31" w:rsidRPr="00EE6F47">
        <w:rPr>
          <w:rFonts w:ascii="Arial" w:hAnsi="Arial" w:cs="Arial"/>
        </w:rPr>
        <w:t>0</w:t>
      </w:r>
      <w:r w:rsidR="004A7765" w:rsidRPr="00EE6F47">
        <w:rPr>
          <w:rFonts w:ascii="Arial" w:hAnsi="Arial" w:cs="Arial"/>
        </w:rPr>
        <w:t>.04 (punto cero cuatro por ciento) para la</w:t>
      </w:r>
      <w:r w:rsidR="004A7765" w:rsidRPr="004A7765">
        <w:rPr>
          <w:rFonts w:ascii="Arial" w:hAnsi="Arial" w:cs="Arial"/>
        </w:rPr>
        <w:t xml:space="preserve"> realización de la </w:t>
      </w:r>
      <w:r w:rsidR="004A7765">
        <w:rPr>
          <w:rFonts w:ascii="Arial" w:hAnsi="Arial" w:cs="Arial"/>
        </w:rPr>
        <w:t>evaluación externa al PROGRAMA..</w:t>
      </w:r>
    </w:p>
    <w:p w:rsidR="00116200" w:rsidRPr="00BF19DD" w:rsidRDefault="00116200" w:rsidP="00FA1C91">
      <w:pPr>
        <w:spacing w:after="0"/>
        <w:ind w:left="357"/>
        <w:jc w:val="both"/>
        <w:rPr>
          <w:rFonts w:ascii="Arial" w:hAnsi="Arial" w:cs="Arial"/>
        </w:rPr>
      </w:pPr>
    </w:p>
    <w:p w:rsidR="00116200" w:rsidRPr="00135F95" w:rsidRDefault="00116200" w:rsidP="00FA1C91">
      <w:pPr>
        <w:spacing w:after="0"/>
        <w:ind w:left="357"/>
        <w:jc w:val="both"/>
        <w:rPr>
          <w:rFonts w:ascii="Arial" w:hAnsi="Arial" w:cs="Arial"/>
        </w:rPr>
      </w:pPr>
      <w:r w:rsidRPr="006F745C">
        <w:rPr>
          <w:rFonts w:ascii="Arial" w:hAnsi="Arial" w:cs="Arial"/>
        </w:rPr>
        <w:t>La</w:t>
      </w:r>
      <w:r w:rsidR="005B2E60">
        <w:rPr>
          <w:rFonts w:ascii="Arial" w:hAnsi="Arial" w:cs="Arial"/>
        </w:rPr>
        <w:t>s</w:t>
      </w:r>
      <w:r w:rsidRPr="006F745C">
        <w:rPr>
          <w:rFonts w:ascii="Arial" w:hAnsi="Arial" w:cs="Arial"/>
        </w:rPr>
        <w:t xml:space="preserve"> </w:t>
      </w:r>
      <w:r w:rsidR="005A6755" w:rsidRPr="006F745C">
        <w:rPr>
          <w:rFonts w:ascii="Arial" w:hAnsi="Arial" w:cs="Arial"/>
        </w:rPr>
        <w:t>Instituci</w:t>
      </w:r>
      <w:r w:rsidR="005B2E60">
        <w:rPr>
          <w:rFonts w:ascii="Arial" w:hAnsi="Arial" w:cs="Arial"/>
        </w:rPr>
        <w:t>o</w:t>
      </w:r>
      <w:r w:rsidR="00965959" w:rsidRPr="006F745C">
        <w:rPr>
          <w:rFonts w:ascii="Arial" w:hAnsi="Arial" w:cs="Arial"/>
        </w:rPr>
        <w:t>n</w:t>
      </w:r>
      <w:r w:rsidR="005B2E60">
        <w:rPr>
          <w:rFonts w:ascii="Arial" w:hAnsi="Arial" w:cs="Arial"/>
        </w:rPr>
        <w:t>es</w:t>
      </w:r>
      <w:r w:rsidR="00965959" w:rsidRPr="006F745C">
        <w:rPr>
          <w:rFonts w:ascii="Arial" w:hAnsi="Arial" w:cs="Arial"/>
        </w:rPr>
        <w:t xml:space="preserve"> de Educación Superior (</w:t>
      </w:r>
      <w:r w:rsidRPr="006F745C">
        <w:rPr>
          <w:rFonts w:ascii="Arial" w:hAnsi="Arial" w:cs="Arial"/>
          <w:b/>
        </w:rPr>
        <w:t>IES</w:t>
      </w:r>
      <w:r w:rsidR="00965959" w:rsidRPr="006F745C">
        <w:rPr>
          <w:rFonts w:ascii="Arial" w:hAnsi="Arial" w:cs="Arial"/>
        </w:rPr>
        <w:t>)</w:t>
      </w:r>
      <w:r w:rsidRPr="006F745C">
        <w:rPr>
          <w:rFonts w:ascii="Arial" w:hAnsi="Arial" w:cs="Arial"/>
        </w:rPr>
        <w:t xml:space="preserve"> </w:t>
      </w:r>
      <w:r w:rsidRPr="00EE6F47">
        <w:rPr>
          <w:rFonts w:ascii="Arial" w:hAnsi="Arial" w:cs="Arial"/>
        </w:rPr>
        <w:t>formalizar</w:t>
      </w:r>
      <w:r w:rsidR="00B806A8" w:rsidRPr="00EE6F47">
        <w:rPr>
          <w:rFonts w:ascii="Arial" w:hAnsi="Arial" w:cs="Arial"/>
        </w:rPr>
        <w:t>á</w:t>
      </w:r>
      <w:r w:rsidR="005644FE" w:rsidRPr="00EE6F47">
        <w:rPr>
          <w:rFonts w:ascii="Arial" w:hAnsi="Arial" w:cs="Arial"/>
        </w:rPr>
        <w:t>n</w:t>
      </w:r>
      <w:r w:rsidRPr="006F745C">
        <w:rPr>
          <w:rFonts w:ascii="Arial" w:hAnsi="Arial" w:cs="Arial"/>
        </w:rPr>
        <w:t xml:space="preserve"> la recepción de los recursos con un máximo de 10 días posteriores a </w:t>
      </w:r>
      <w:r w:rsidR="00B806A8" w:rsidRPr="00135F95">
        <w:rPr>
          <w:rFonts w:ascii="Arial" w:hAnsi="Arial" w:cs="Arial"/>
        </w:rPr>
        <w:t xml:space="preserve">la suscripción del convenio, </w:t>
      </w:r>
      <w:r w:rsidRPr="00135F95">
        <w:rPr>
          <w:rFonts w:ascii="Arial" w:hAnsi="Arial" w:cs="Arial"/>
        </w:rPr>
        <w:t>a través de la entrega de un recibo oficial por la cantidad asignada, mismo que se envia</w:t>
      </w:r>
      <w:r w:rsidR="00B806A8" w:rsidRPr="00135F95">
        <w:rPr>
          <w:rFonts w:ascii="Arial" w:hAnsi="Arial" w:cs="Arial"/>
        </w:rPr>
        <w:t>rá</w:t>
      </w:r>
      <w:r w:rsidRPr="00135F95">
        <w:rPr>
          <w:rFonts w:ascii="Arial" w:hAnsi="Arial" w:cs="Arial"/>
        </w:rPr>
        <w:t xml:space="preserve"> a la Dirección de Subsidio a Universidades de la </w:t>
      </w:r>
      <w:r w:rsidRPr="00135F95">
        <w:rPr>
          <w:rFonts w:ascii="Arial" w:hAnsi="Arial" w:cs="Arial"/>
          <w:b/>
        </w:rPr>
        <w:t>DGESU</w:t>
      </w:r>
      <w:r w:rsidRPr="00135F95">
        <w:rPr>
          <w:rStyle w:val="Refdenotaalpie"/>
          <w:rFonts w:ascii="Arial" w:hAnsi="Arial" w:cs="Arial"/>
        </w:rPr>
        <w:footnoteReference w:id="2"/>
      </w:r>
      <w:r w:rsidRPr="00135F95">
        <w:rPr>
          <w:rFonts w:ascii="Arial" w:hAnsi="Arial" w:cs="Arial"/>
        </w:rPr>
        <w:t xml:space="preserve"> o a la </w:t>
      </w:r>
      <w:r w:rsidRPr="00135F95">
        <w:rPr>
          <w:rFonts w:ascii="Arial" w:hAnsi="Arial" w:cs="Arial"/>
          <w:b/>
        </w:rPr>
        <w:t>CGUT</w:t>
      </w:r>
      <w:r w:rsidRPr="00135F95">
        <w:rPr>
          <w:rStyle w:val="Refdenotaalpie"/>
          <w:rFonts w:ascii="Arial" w:hAnsi="Arial" w:cs="Arial"/>
        </w:rPr>
        <w:footnoteReference w:id="3"/>
      </w:r>
      <w:r w:rsidR="00965959" w:rsidRPr="00135F95">
        <w:rPr>
          <w:rFonts w:ascii="Arial" w:hAnsi="Arial" w:cs="Arial"/>
        </w:rPr>
        <w:t>, según corresponda.</w:t>
      </w:r>
    </w:p>
    <w:p w:rsidR="00116200" w:rsidRPr="00135F95" w:rsidRDefault="00116200" w:rsidP="00FA1C91">
      <w:pPr>
        <w:spacing w:after="0"/>
        <w:ind w:left="357"/>
        <w:jc w:val="both"/>
        <w:rPr>
          <w:rFonts w:ascii="Arial" w:hAnsi="Arial" w:cs="Arial"/>
        </w:rPr>
      </w:pPr>
    </w:p>
    <w:p w:rsidR="00116200" w:rsidRPr="00BF19DD" w:rsidRDefault="005A6755" w:rsidP="00FA1C91">
      <w:pPr>
        <w:spacing w:after="0"/>
        <w:ind w:left="357"/>
        <w:jc w:val="both"/>
        <w:rPr>
          <w:rFonts w:ascii="Arial" w:hAnsi="Arial" w:cs="Arial"/>
        </w:rPr>
      </w:pPr>
      <w:r w:rsidRPr="00135F95">
        <w:rPr>
          <w:rFonts w:ascii="Arial" w:hAnsi="Arial" w:cs="Arial"/>
        </w:rPr>
        <w:t>Para tal efecto las IES deberán</w:t>
      </w:r>
      <w:r w:rsidR="00116200" w:rsidRPr="00135F95">
        <w:rPr>
          <w:rFonts w:ascii="Arial" w:hAnsi="Arial" w:cs="Arial"/>
        </w:rPr>
        <w:t xml:space="preserve"> </w:t>
      </w:r>
      <w:r w:rsidRPr="00135F95">
        <w:rPr>
          <w:rFonts w:ascii="Arial" w:hAnsi="Arial" w:cs="Arial"/>
        </w:rPr>
        <w:t xml:space="preserve">aperturar una subcuenta en el Fideicomiso </w:t>
      </w:r>
      <w:r w:rsidRPr="00135F95">
        <w:rPr>
          <w:rFonts w:ascii="Arial" w:hAnsi="Arial" w:cs="Arial"/>
          <w:b/>
        </w:rPr>
        <w:t>PIFI</w:t>
      </w:r>
      <w:r w:rsidRPr="00135F95">
        <w:rPr>
          <w:rFonts w:ascii="Arial" w:hAnsi="Arial" w:cs="Arial"/>
        </w:rPr>
        <w:t xml:space="preserve"> del año en vigor o la cuenta de cheques productiva PIFI</w:t>
      </w:r>
      <w:r w:rsidR="00116200" w:rsidRPr="00135F95">
        <w:rPr>
          <w:rFonts w:ascii="Arial" w:hAnsi="Arial" w:cs="Arial"/>
        </w:rPr>
        <w:t xml:space="preserve">, </w:t>
      </w:r>
      <w:r w:rsidRPr="00135F95">
        <w:rPr>
          <w:rFonts w:ascii="Arial" w:hAnsi="Arial" w:cs="Arial"/>
        </w:rPr>
        <w:t xml:space="preserve">según sea el caso </w:t>
      </w:r>
      <w:r w:rsidR="00116200" w:rsidRPr="00135F95">
        <w:rPr>
          <w:rFonts w:ascii="Arial" w:hAnsi="Arial" w:cs="Arial"/>
        </w:rPr>
        <w:t xml:space="preserve">conforme al Convenio de Colaboración y Apoyo, dando evidencia del mismo y quedando obligada a remitir a la </w:t>
      </w:r>
      <w:r w:rsidR="00116200" w:rsidRPr="00135F95">
        <w:rPr>
          <w:rFonts w:ascii="Arial" w:hAnsi="Arial" w:cs="Arial"/>
          <w:b/>
        </w:rPr>
        <w:t>DGESU</w:t>
      </w:r>
      <w:r w:rsidR="00116200" w:rsidRPr="00135F95">
        <w:rPr>
          <w:rFonts w:ascii="Arial" w:hAnsi="Arial" w:cs="Arial"/>
        </w:rPr>
        <w:t xml:space="preserve"> o a la </w:t>
      </w:r>
      <w:r w:rsidR="00116200" w:rsidRPr="00135F95">
        <w:rPr>
          <w:rFonts w:ascii="Arial" w:hAnsi="Arial" w:cs="Arial"/>
          <w:b/>
        </w:rPr>
        <w:t>CGUT</w:t>
      </w:r>
      <w:r w:rsidR="00116200" w:rsidRPr="00135F95">
        <w:rPr>
          <w:rFonts w:ascii="Arial" w:hAnsi="Arial" w:cs="Arial"/>
        </w:rPr>
        <w:t>, según corresponda, copia de la apertura</w:t>
      </w:r>
      <w:r w:rsidR="00116200" w:rsidRPr="006F745C">
        <w:rPr>
          <w:rFonts w:ascii="Arial" w:hAnsi="Arial" w:cs="Arial"/>
        </w:rPr>
        <w:t xml:space="preserve"> de la subcuenta del fideicomiso, así como los estados de cuenta mensual</w:t>
      </w:r>
      <w:r w:rsidR="00965959" w:rsidRPr="006F745C">
        <w:rPr>
          <w:rFonts w:ascii="Arial" w:hAnsi="Arial" w:cs="Arial"/>
        </w:rPr>
        <w:t>es de la misma</w:t>
      </w:r>
      <w:r w:rsidR="00116200" w:rsidRPr="006F745C">
        <w:rPr>
          <w:rFonts w:ascii="Arial" w:hAnsi="Arial" w:cs="Arial"/>
        </w:rPr>
        <w:t>.</w:t>
      </w:r>
    </w:p>
    <w:p w:rsidR="00116200" w:rsidRPr="00642F57" w:rsidRDefault="00116200" w:rsidP="00CF30C9">
      <w:pPr>
        <w:ind w:left="360"/>
        <w:jc w:val="both"/>
        <w:rPr>
          <w:rFonts w:ascii="Arial" w:hAnsi="Arial" w:cs="Arial"/>
          <w:highlight w:val="yellow"/>
        </w:rPr>
      </w:pPr>
    </w:p>
    <w:p w:rsidR="00116200" w:rsidRPr="00135F95" w:rsidRDefault="00116200" w:rsidP="00FA1C91">
      <w:pPr>
        <w:spacing w:after="0"/>
        <w:ind w:left="357"/>
        <w:jc w:val="both"/>
        <w:rPr>
          <w:rFonts w:ascii="Arial" w:hAnsi="Arial" w:cs="Arial"/>
        </w:rPr>
      </w:pPr>
      <w:r w:rsidRPr="00BF19DD">
        <w:rPr>
          <w:rFonts w:ascii="Arial" w:hAnsi="Arial" w:cs="Arial"/>
        </w:rPr>
        <w:lastRenderedPageBreak/>
        <w:t xml:space="preserve">Los proyectos tienen una duración </w:t>
      </w:r>
      <w:r w:rsidRPr="00135F95">
        <w:rPr>
          <w:rFonts w:ascii="Arial" w:hAnsi="Arial" w:cs="Arial"/>
        </w:rPr>
        <w:t xml:space="preserve">máxima </w:t>
      </w:r>
      <w:r w:rsidR="00161693" w:rsidRPr="00135F95">
        <w:rPr>
          <w:rFonts w:ascii="Arial" w:hAnsi="Arial" w:cs="Arial"/>
        </w:rPr>
        <w:t>bienal</w:t>
      </w:r>
      <w:r w:rsidRPr="00135F95">
        <w:rPr>
          <w:rFonts w:ascii="Arial" w:hAnsi="Arial" w:cs="Arial"/>
        </w:rPr>
        <w:t xml:space="preserve">, a partir de la fecha de autorización de la reprogramación respectiva por parte de la </w:t>
      </w:r>
      <w:r w:rsidRPr="00135F95">
        <w:rPr>
          <w:rFonts w:ascii="Arial" w:hAnsi="Arial" w:cs="Arial"/>
          <w:b/>
        </w:rPr>
        <w:t>DGESU</w:t>
      </w:r>
      <w:r w:rsidRPr="00135F95">
        <w:rPr>
          <w:rFonts w:ascii="Arial" w:hAnsi="Arial" w:cs="Arial"/>
        </w:rPr>
        <w:t xml:space="preserve"> o la </w:t>
      </w:r>
      <w:r w:rsidRPr="00135F95">
        <w:rPr>
          <w:rFonts w:ascii="Arial" w:hAnsi="Arial" w:cs="Arial"/>
          <w:b/>
        </w:rPr>
        <w:t>CGUT</w:t>
      </w:r>
      <w:r w:rsidRPr="00135F95">
        <w:rPr>
          <w:rFonts w:ascii="Arial" w:hAnsi="Arial" w:cs="Arial"/>
        </w:rPr>
        <w:t>, según corresponda, en apego al numeral 7.1 de las Reglas de Operación</w:t>
      </w:r>
      <w:r w:rsidR="00D33A07" w:rsidRPr="00135F95">
        <w:rPr>
          <w:rFonts w:ascii="Arial" w:hAnsi="Arial" w:cs="Arial"/>
        </w:rPr>
        <w:t xml:space="preserve"> 201</w:t>
      </w:r>
      <w:r w:rsidR="00392CF4" w:rsidRPr="00135F95">
        <w:rPr>
          <w:rFonts w:ascii="Arial" w:hAnsi="Arial" w:cs="Arial"/>
        </w:rPr>
        <w:t>2</w:t>
      </w:r>
      <w:r w:rsidR="00D33A07" w:rsidRPr="00135F95">
        <w:rPr>
          <w:rFonts w:ascii="Arial" w:hAnsi="Arial" w:cs="Arial"/>
        </w:rPr>
        <w:t xml:space="preserve"> del </w:t>
      </w:r>
      <w:r w:rsidR="00D33A07" w:rsidRPr="00135F95">
        <w:rPr>
          <w:rFonts w:ascii="Arial" w:hAnsi="Arial" w:cs="Arial"/>
          <w:b/>
        </w:rPr>
        <w:t>PIFI</w:t>
      </w:r>
      <w:r w:rsidRPr="00135F95">
        <w:rPr>
          <w:rFonts w:ascii="Arial" w:hAnsi="Arial" w:cs="Arial"/>
        </w:rPr>
        <w:t>.</w:t>
      </w:r>
    </w:p>
    <w:p w:rsidR="00116200" w:rsidRPr="00135F95" w:rsidRDefault="00116200" w:rsidP="00FA1C91">
      <w:pPr>
        <w:spacing w:after="0"/>
        <w:ind w:left="357"/>
        <w:jc w:val="both"/>
        <w:rPr>
          <w:rFonts w:ascii="Arial" w:hAnsi="Arial" w:cs="Arial"/>
        </w:rPr>
      </w:pPr>
    </w:p>
    <w:p w:rsidR="00116200" w:rsidRPr="00135F95" w:rsidRDefault="00116200" w:rsidP="00CF30C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t>Tipos y montos de apoyos económicos que ofrece el programa federal a los beneficiarios.</w:t>
      </w:r>
    </w:p>
    <w:p w:rsidR="00116200" w:rsidRPr="00135F95" w:rsidRDefault="00116200" w:rsidP="00CF30C9">
      <w:pPr>
        <w:pStyle w:val="Prrafodelista"/>
        <w:jc w:val="both"/>
        <w:rPr>
          <w:rFonts w:ascii="Arial" w:hAnsi="Arial" w:cs="Arial"/>
          <w:b/>
        </w:rPr>
      </w:pPr>
    </w:p>
    <w:p w:rsidR="00116200" w:rsidRPr="00135F95" w:rsidRDefault="00116200" w:rsidP="00CF30C9">
      <w:pPr>
        <w:pStyle w:val="Prrafodelista"/>
        <w:ind w:left="36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t>Tipo de apoyo.</w:t>
      </w:r>
    </w:p>
    <w:p w:rsidR="00116200" w:rsidRPr="00BF19DD" w:rsidRDefault="00116200" w:rsidP="00FA1C91">
      <w:pPr>
        <w:spacing w:after="0"/>
        <w:ind w:left="357"/>
        <w:jc w:val="both"/>
        <w:rPr>
          <w:rFonts w:ascii="Arial" w:hAnsi="Arial" w:cs="Arial"/>
        </w:rPr>
      </w:pPr>
      <w:r w:rsidRPr="00135F95">
        <w:rPr>
          <w:rFonts w:ascii="Arial" w:hAnsi="Arial" w:cs="Arial"/>
        </w:rPr>
        <w:t>Se otorga</w:t>
      </w:r>
      <w:r w:rsidR="00CF30C9" w:rsidRPr="00135F95">
        <w:rPr>
          <w:rFonts w:ascii="Arial" w:hAnsi="Arial" w:cs="Arial"/>
        </w:rPr>
        <w:t>rá</w:t>
      </w:r>
      <w:r w:rsidRPr="00135F95">
        <w:rPr>
          <w:rFonts w:ascii="Arial" w:hAnsi="Arial" w:cs="Arial"/>
        </w:rPr>
        <w:t xml:space="preserve"> un apoyo financiero no </w:t>
      </w:r>
      <w:proofErr w:type="spellStart"/>
      <w:r w:rsidRPr="00135F95">
        <w:rPr>
          <w:rFonts w:ascii="Arial" w:hAnsi="Arial" w:cs="Arial"/>
        </w:rPr>
        <w:t>regularizable</w:t>
      </w:r>
      <w:proofErr w:type="spellEnd"/>
      <w:r w:rsidRPr="00135F95">
        <w:rPr>
          <w:rFonts w:ascii="Arial" w:hAnsi="Arial" w:cs="Arial"/>
        </w:rPr>
        <w:t xml:space="preserve"> hasta por </w:t>
      </w:r>
      <w:r w:rsidR="003166EE" w:rsidRPr="00135F95">
        <w:rPr>
          <w:rFonts w:ascii="Arial" w:hAnsi="Arial" w:cs="Arial"/>
        </w:rPr>
        <w:t>90</w:t>
      </w:r>
      <w:r w:rsidRPr="00135F95">
        <w:rPr>
          <w:rFonts w:ascii="Arial" w:hAnsi="Arial" w:cs="Arial"/>
        </w:rPr>
        <w:t xml:space="preserve"> millones de pesos por </w:t>
      </w:r>
      <w:r w:rsidRPr="00135F95">
        <w:rPr>
          <w:rFonts w:ascii="Arial" w:hAnsi="Arial" w:cs="Arial"/>
          <w:b/>
        </w:rPr>
        <w:t>IES</w:t>
      </w:r>
      <w:r w:rsidRPr="00135F95">
        <w:rPr>
          <w:rFonts w:ascii="Arial" w:hAnsi="Arial" w:cs="Arial"/>
        </w:rPr>
        <w:t xml:space="preserve"> para la realización de proyectos enmarcados entre </w:t>
      </w:r>
      <w:r w:rsidR="003166EE" w:rsidRPr="00135F95">
        <w:rPr>
          <w:rFonts w:ascii="Arial" w:hAnsi="Arial" w:cs="Arial"/>
        </w:rPr>
        <w:t>el objetivo</w:t>
      </w:r>
      <w:r w:rsidRPr="00135F95">
        <w:rPr>
          <w:rFonts w:ascii="Arial" w:hAnsi="Arial" w:cs="Arial"/>
        </w:rPr>
        <w:t xml:space="preserve"> general y específico del </w:t>
      </w:r>
      <w:r w:rsidR="003166EE" w:rsidRPr="00135F95">
        <w:rPr>
          <w:rFonts w:ascii="Arial" w:hAnsi="Arial" w:cs="Arial"/>
          <w:b/>
        </w:rPr>
        <w:t>PIFI</w:t>
      </w:r>
      <w:r w:rsidR="00964CE1" w:rsidRPr="00135F95">
        <w:rPr>
          <w:rFonts w:ascii="Arial" w:hAnsi="Arial" w:cs="Arial"/>
        </w:rPr>
        <w:t xml:space="preserve">, </w:t>
      </w:r>
      <w:r w:rsidRPr="00135F95">
        <w:rPr>
          <w:rFonts w:ascii="Arial" w:hAnsi="Arial" w:cs="Arial"/>
        </w:rPr>
        <w:t>descritos en los numerales 3.1 y 3.2 de las Reglas de Operación 201</w:t>
      </w:r>
      <w:r w:rsidR="00392CF4" w:rsidRPr="00135F95">
        <w:rPr>
          <w:rFonts w:ascii="Arial" w:hAnsi="Arial" w:cs="Arial"/>
        </w:rPr>
        <w:t>2</w:t>
      </w:r>
      <w:r w:rsidR="00D33A07" w:rsidRPr="00135F95">
        <w:rPr>
          <w:rFonts w:ascii="Arial" w:hAnsi="Arial" w:cs="Arial"/>
        </w:rPr>
        <w:t xml:space="preserve"> del </w:t>
      </w:r>
      <w:r w:rsidR="00D33A07" w:rsidRPr="00135F95">
        <w:rPr>
          <w:rFonts w:ascii="Arial" w:hAnsi="Arial" w:cs="Arial"/>
          <w:b/>
        </w:rPr>
        <w:t>PIFI</w:t>
      </w:r>
      <w:r w:rsidRPr="00135F95">
        <w:rPr>
          <w:rFonts w:ascii="Arial" w:hAnsi="Arial" w:cs="Arial"/>
        </w:rPr>
        <w:t xml:space="preserve">, que </w:t>
      </w:r>
      <w:r w:rsidR="00CF30C9" w:rsidRPr="00135F95">
        <w:rPr>
          <w:rFonts w:ascii="Arial" w:hAnsi="Arial" w:cs="Arial"/>
        </w:rPr>
        <w:t>fueron</w:t>
      </w:r>
      <w:r w:rsidRPr="00135F95">
        <w:rPr>
          <w:rFonts w:ascii="Arial" w:hAnsi="Arial" w:cs="Arial"/>
        </w:rPr>
        <w:t xml:space="preserve"> dictaminados favorablemente por los Comités de Evaluación</w:t>
      </w:r>
      <w:r w:rsidR="00CF30C9" w:rsidRPr="00135F95">
        <w:rPr>
          <w:rFonts w:ascii="Arial" w:hAnsi="Arial" w:cs="Arial"/>
        </w:rPr>
        <w:t xml:space="preserve"> que para tal efecto se conformaron en 201</w:t>
      </w:r>
      <w:r w:rsidR="00161693" w:rsidRPr="00135F95">
        <w:rPr>
          <w:rFonts w:ascii="Arial" w:hAnsi="Arial" w:cs="Arial"/>
        </w:rPr>
        <w:t>2</w:t>
      </w:r>
      <w:r w:rsidRPr="00135F95">
        <w:rPr>
          <w:rFonts w:ascii="Arial" w:hAnsi="Arial" w:cs="Arial"/>
        </w:rPr>
        <w:t>.</w:t>
      </w:r>
    </w:p>
    <w:p w:rsidR="00116200" w:rsidRPr="00B60B76" w:rsidRDefault="00116200" w:rsidP="00FA1C91">
      <w:pPr>
        <w:spacing w:after="0"/>
        <w:ind w:left="357"/>
        <w:jc w:val="both"/>
        <w:rPr>
          <w:rFonts w:ascii="Arial" w:hAnsi="Arial" w:cs="Arial"/>
          <w:highlight w:val="yellow"/>
        </w:rPr>
      </w:pPr>
    </w:p>
    <w:p w:rsidR="00116200" w:rsidRDefault="00116200" w:rsidP="0081180D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  <w:r w:rsidRPr="00116200">
        <w:rPr>
          <w:rFonts w:ascii="Arial" w:hAnsi="Arial" w:cs="Arial"/>
          <w:b/>
        </w:rPr>
        <w:t>Monto del apoyo</w:t>
      </w:r>
    </w:p>
    <w:p w:rsidR="0081180D" w:rsidRPr="00116200" w:rsidRDefault="0081180D" w:rsidP="0081180D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116200" w:rsidRPr="005B18C2" w:rsidRDefault="00116200" w:rsidP="0081180D">
      <w:pPr>
        <w:spacing w:after="0"/>
        <w:ind w:left="372"/>
        <w:jc w:val="both"/>
        <w:rPr>
          <w:rFonts w:ascii="Arial" w:hAnsi="Arial" w:cs="Arial"/>
        </w:rPr>
      </w:pPr>
      <w:r w:rsidRPr="00BF19DD">
        <w:rPr>
          <w:rFonts w:ascii="Arial" w:hAnsi="Arial" w:cs="Arial"/>
        </w:rPr>
        <w:t xml:space="preserve">La </w:t>
      </w:r>
      <w:r w:rsidR="003166EE">
        <w:rPr>
          <w:rFonts w:ascii="Arial" w:hAnsi="Arial" w:cs="Arial"/>
        </w:rPr>
        <w:t>Subsecretaría de</w:t>
      </w:r>
      <w:r w:rsidRPr="00BF19DD">
        <w:rPr>
          <w:rFonts w:ascii="Arial" w:hAnsi="Arial" w:cs="Arial"/>
        </w:rPr>
        <w:t xml:space="preserve"> Educación </w:t>
      </w:r>
      <w:r w:rsidR="003166EE">
        <w:rPr>
          <w:rFonts w:ascii="Arial" w:hAnsi="Arial" w:cs="Arial"/>
        </w:rPr>
        <w:t>Superior</w:t>
      </w:r>
      <w:r w:rsidRPr="00BF19DD">
        <w:rPr>
          <w:rFonts w:ascii="Arial" w:hAnsi="Arial" w:cs="Arial"/>
        </w:rPr>
        <w:t xml:space="preserve"> (</w:t>
      </w:r>
      <w:r w:rsidRPr="00BF19DD">
        <w:rPr>
          <w:rFonts w:ascii="Arial" w:hAnsi="Arial" w:cs="Arial"/>
          <w:b/>
        </w:rPr>
        <w:t>SE</w:t>
      </w:r>
      <w:r w:rsidR="003166EE">
        <w:rPr>
          <w:rFonts w:ascii="Arial" w:hAnsi="Arial" w:cs="Arial"/>
          <w:b/>
        </w:rPr>
        <w:t>S</w:t>
      </w:r>
      <w:r w:rsidRPr="00BF19DD">
        <w:rPr>
          <w:rFonts w:ascii="Arial" w:hAnsi="Arial" w:cs="Arial"/>
        </w:rPr>
        <w:t xml:space="preserve">) podrá otorgar hasta un máximo de </w:t>
      </w:r>
      <w:r w:rsidR="003166EE">
        <w:rPr>
          <w:rFonts w:ascii="Arial" w:hAnsi="Arial" w:cs="Arial"/>
        </w:rPr>
        <w:t>90</w:t>
      </w:r>
      <w:r w:rsidRPr="00BF19DD">
        <w:rPr>
          <w:rFonts w:ascii="Arial" w:hAnsi="Arial" w:cs="Arial"/>
        </w:rPr>
        <w:t xml:space="preserve"> millones de pesos por </w:t>
      </w:r>
      <w:r w:rsidRPr="007A3D33">
        <w:rPr>
          <w:rFonts w:ascii="Arial" w:hAnsi="Arial" w:cs="Arial"/>
          <w:b/>
        </w:rPr>
        <w:t>IES</w:t>
      </w:r>
      <w:r w:rsidR="00CF30C9">
        <w:rPr>
          <w:rFonts w:ascii="Arial" w:hAnsi="Arial" w:cs="Arial"/>
        </w:rPr>
        <w:t xml:space="preserve">, </w:t>
      </w:r>
      <w:r w:rsidRPr="00BF19DD">
        <w:rPr>
          <w:rFonts w:ascii="Arial" w:hAnsi="Arial" w:cs="Arial"/>
        </w:rPr>
        <w:t xml:space="preserve">en el marco </w:t>
      </w:r>
      <w:r w:rsidR="003166EE">
        <w:rPr>
          <w:rFonts w:ascii="Arial" w:hAnsi="Arial" w:cs="Arial"/>
        </w:rPr>
        <w:t>del</w:t>
      </w:r>
      <w:r w:rsidRPr="00BF19DD">
        <w:rPr>
          <w:rFonts w:ascii="Arial" w:hAnsi="Arial" w:cs="Arial"/>
        </w:rPr>
        <w:t xml:space="preserve"> </w:t>
      </w:r>
      <w:r w:rsidRPr="00BF19DD">
        <w:rPr>
          <w:rFonts w:ascii="Arial" w:hAnsi="Arial" w:cs="Arial"/>
          <w:b/>
        </w:rPr>
        <w:t>PIFI</w:t>
      </w:r>
      <w:r w:rsidRPr="00BF19DD">
        <w:rPr>
          <w:rFonts w:ascii="Arial" w:hAnsi="Arial" w:cs="Arial"/>
        </w:rPr>
        <w:t>, en una o varias ministraciones</w:t>
      </w:r>
      <w:r>
        <w:rPr>
          <w:rFonts w:ascii="Arial" w:hAnsi="Arial" w:cs="Arial"/>
        </w:rPr>
        <w:t xml:space="preserve"> de acuerdo con su disponibilidad presupuestaria</w:t>
      </w:r>
      <w:r w:rsidRPr="00BF19DD">
        <w:rPr>
          <w:rFonts w:ascii="Arial" w:hAnsi="Arial" w:cs="Arial"/>
        </w:rPr>
        <w:t>.</w:t>
      </w:r>
    </w:p>
    <w:p w:rsidR="00116200" w:rsidRPr="00964CE1" w:rsidRDefault="00116200" w:rsidP="00FA1C91">
      <w:pPr>
        <w:spacing w:after="0"/>
        <w:ind w:left="360"/>
        <w:jc w:val="both"/>
        <w:rPr>
          <w:rFonts w:ascii="Arial" w:hAnsi="Arial" w:cs="Arial"/>
          <w:highlight w:val="yellow"/>
        </w:rPr>
      </w:pPr>
    </w:p>
    <w:p w:rsidR="00116200" w:rsidRDefault="00116200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5B18C2">
        <w:rPr>
          <w:rFonts w:ascii="Arial" w:hAnsi="Arial" w:cs="Arial"/>
          <w:b/>
        </w:rPr>
        <w:t>Requisitos para elegir a los beneficiarios.</w:t>
      </w:r>
    </w:p>
    <w:p w:rsidR="00116200" w:rsidRPr="003166EE" w:rsidRDefault="00116200" w:rsidP="00FA1C91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48164E" w:rsidRPr="00135F95" w:rsidRDefault="00C21765" w:rsidP="00FA1C91">
      <w:pPr>
        <w:pStyle w:val="Texto"/>
        <w:numPr>
          <w:ilvl w:val="0"/>
          <w:numId w:val="5"/>
        </w:numPr>
        <w:spacing w:after="0" w:line="276" w:lineRule="auto"/>
        <w:ind w:left="720"/>
        <w:rPr>
          <w:sz w:val="22"/>
          <w:szCs w:val="22"/>
        </w:rPr>
      </w:pPr>
      <w:r w:rsidRPr="00135F95">
        <w:rPr>
          <w:sz w:val="22"/>
          <w:szCs w:val="22"/>
        </w:rPr>
        <w:t>S</w:t>
      </w:r>
      <w:r w:rsidR="00D210D7" w:rsidRPr="00135F95">
        <w:rPr>
          <w:sz w:val="22"/>
          <w:szCs w:val="22"/>
        </w:rPr>
        <w:t>o</w:t>
      </w:r>
      <w:r w:rsidRPr="00135F95">
        <w:rPr>
          <w:sz w:val="22"/>
          <w:szCs w:val="22"/>
        </w:rPr>
        <w:t xml:space="preserve">lo podrán ser </w:t>
      </w:r>
      <w:r w:rsidR="00161693" w:rsidRPr="00135F95">
        <w:rPr>
          <w:sz w:val="22"/>
          <w:szCs w:val="22"/>
        </w:rPr>
        <w:t xml:space="preserve">beneficiarios del Programa </w:t>
      </w:r>
      <w:r w:rsidR="003A0EA2" w:rsidRPr="00135F95">
        <w:rPr>
          <w:sz w:val="22"/>
          <w:szCs w:val="22"/>
        </w:rPr>
        <w:t xml:space="preserve">los proyectos integrales que forman parte del </w:t>
      </w:r>
      <w:r w:rsidR="003A0EA2" w:rsidRPr="00EE6F47">
        <w:rPr>
          <w:sz w:val="22"/>
          <w:szCs w:val="22"/>
        </w:rPr>
        <w:t>PIFI (</w:t>
      </w:r>
      <w:r w:rsidR="00E23DE3" w:rsidRPr="00EE6F47">
        <w:rPr>
          <w:sz w:val="22"/>
          <w:szCs w:val="22"/>
        </w:rPr>
        <w:t>Universidades Públicas Estatales -</w:t>
      </w:r>
      <w:r w:rsidR="00161693" w:rsidRPr="00EE6F47">
        <w:rPr>
          <w:sz w:val="22"/>
          <w:szCs w:val="22"/>
        </w:rPr>
        <w:t>UPES</w:t>
      </w:r>
      <w:r w:rsidR="00E23DE3" w:rsidRPr="00EE6F47">
        <w:rPr>
          <w:sz w:val="22"/>
          <w:szCs w:val="22"/>
        </w:rPr>
        <w:t>-</w:t>
      </w:r>
      <w:r w:rsidR="00161693" w:rsidRPr="00EE6F47">
        <w:rPr>
          <w:sz w:val="22"/>
          <w:szCs w:val="22"/>
        </w:rPr>
        <w:t xml:space="preserve">, </w:t>
      </w:r>
      <w:r w:rsidR="00E23DE3" w:rsidRPr="00EE6F47">
        <w:rPr>
          <w:sz w:val="22"/>
          <w:szCs w:val="22"/>
        </w:rPr>
        <w:t>Universidades Tecnológicas -</w:t>
      </w:r>
      <w:r w:rsidR="00161693" w:rsidRPr="00EE6F47">
        <w:rPr>
          <w:sz w:val="22"/>
          <w:szCs w:val="22"/>
        </w:rPr>
        <w:t>UTES</w:t>
      </w:r>
      <w:r w:rsidR="00E23DE3" w:rsidRPr="00EE6F47">
        <w:rPr>
          <w:sz w:val="22"/>
          <w:szCs w:val="22"/>
        </w:rPr>
        <w:t xml:space="preserve">- </w:t>
      </w:r>
      <w:r w:rsidR="00161693" w:rsidRPr="00EE6F47">
        <w:rPr>
          <w:sz w:val="22"/>
          <w:szCs w:val="22"/>
        </w:rPr>
        <w:t xml:space="preserve"> y </w:t>
      </w:r>
      <w:r w:rsidR="00E23DE3" w:rsidRPr="00EE6F47">
        <w:rPr>
          <w:sz w:val="22"/>
          <w:szCs w:val="22"/>
        </w:rPr>
        <w:t>Universidades Politécnicas -</w:t>
      </w:r>
      <w:r w:rsidR="00161693" w:rsidRPr="00EE6F47">
        <w:rPr>
          <w:sz w:val="22"/>
          <w:szCs w:val="22"/>
        </w:rPr>
        <w:t>UPOLS</w:t>
      </w:r>
      <w:r w:rsidR="00E23DE3" w:rsidRPr="00EE6F47">
        <w:rPr>
          <w:sz w:val="22"/>
          <w:szCs w:val="22"/>
        </w:rPr>
        <w:t>-</w:t>
      </w:r>
      <w:r w:rsidR="003A0EA2" w:rsidRPr="00EE6F47">
        <w:rPr>
          <w:sz w:val="22"/>
          <w:szCs w:val="22"/>
        </w:rPr>
        <w:t>)</w:t>
      </w:r>
      <w:r w:rsidR="00161693" w:rsidRPr="00EE6F47">
        <w:rPr>
          <w:sz w:val="22"/>
          <w:szCs w:val="22"/>
        </w:rPr>
        <w:t xml:space="preserve">, que tengan sus </w:t>
      </w:r>
      <w:r w:rsidR="00791DF8" w:rsidRPr="00EE6F47">
        <w:rPr>
          <w:sz w:val="22"/>
          <w:szCs w:val="22"/>
        </w:rPr>
        <w:t>D</w:t>
      </w:r>
      <w:r w:rsidR="00161693" w:rsidRPr="00EE6F47">
        <w:rPr>
          <w:sz w:val="22"/>
          <w:szCs w:val="22"/>
        </w:rPr>
        <w:t xml:space="preserve">ependencias de Educación Superior </w:t>
      </w:r>
      <w:r w:rsidR="00791DF8" w:rsidRPr="00EE6F47">
        <w:rPr>
          <w:sz w:val="22"/>
          <w:szCs w:val="22"/>
        </w:rPr>
        <w:t>(</w:t>
      </w:r>
      <w:r w:rsidR="00161693" w:rsidRPr="00EE6F47">
        <w:rPr>
          <w:sz w:val="22"/>
          <w:szCs w:val="22"/>
        </w:rPr>
        <w:t>DES)</w:t>
      </w:r>
      <w:r w:rsidRPr="00EE6F47">
        <w:rPr>
          <w:sz w:val="22"/>
          <w:szCs w:val="22"/>
        </w:rPr>
        <w:t xml:space="preserve"> </w:t>
      </w:r>
      <w:r w:rsidR="00E030FE" w:rsidRPr="00EE6F47">
        <w:rPr>
          <w:sz w:val="22"/>
          <w:szCs w:val="22"/>
        </w:rPr>
        <w:t>registradas en el PROMEP</w:t>
      </w:r>
      <w:r w:rsidR="0033360D" w:rsidRPr="00EE6F47">
        <w:rPr>
          <w:rStyle w:val="Refdenotaalpie"/>
          <w:sz w:val="22"/>
          <w:szCs w:val="22"/>
        </w:rPr>
        <w:footnoteReference w:id="4"/>
      </w:r>
      <w:r w:rsidR="00E030FE" w:rsidRPr="00EE6F47">
        <w:rPr>
          <w:sz w:val="22"/>
          <w:szCs w:val="22"/>
        </w:rPr>
        <w:t xml:space="preserve"> </w:t>
      </w:r>
      <w:r w:rsidR="00E030FE" w:rsidRPr="00135F95">
        <w:rPr>
          <w:sz w:val="22"/>
          <w:szCs w:val="22"/>
        </w:rPr>
        <w:t xml:space="preserve">presentados del 16 al 20 de abril, por las IES señaladas en el numeral 4.2 de las Reglas de Operación 2012 del PIFI, </w:t>
      </w:r>
      <w:r w:rsidR="003A0EA2" w:rsidRPr="00135F95">
        <w:rPr>
          <w:sz w:val="22"/>
          <w:szCs w:val="22"/>
        </w:rPr>
        <w:t xml:space="preserve">y </w:t>
      </w:r>
      <w:r w:rsidR="00E030FE" w:rsidRPr="00135F95">
        <w:rPr>
          <w:sz w:val="22"/>
          <w:szCs w:val="22"/>
        </w:rPr>
        <w:t xml:space="preserve">elaborados con base en lo dispuesto en </w:t>
      </w:r>
      <w:r w:rsidR="003A0EA2" w:rsidRPr="00135F95">
        <w:rPr>
          <w:sz w:val="22"/>
          <w:szCs w:val="22"/>
        </w:rPr>
        <w:t>dichas</w:t>
      </w:r>
      <w:r w:rsidR="00E030FE" w:rsidRPr="00135F95">
        <w:rPr>
          <w:sz w:val="22"/>
          <w:szCs w:val="22"/>
        </w:rPr>
        <w:t xml:space="preserve"> Reglas y en la Guía PIFI 2011-2012.</w:t>
      </w:r>
    </w:p>
    <w:p w:rsidR="00E030FE" w:rsidRPr="00135F95" w:rsidRDefault="00E030FE" w:rsidP="00E030FE">
      <w:pPr>
        <w:pStyle w:val="Texto"/>
        <w:spacing w:after="0" w:line="276" w:lineRule="auto"/>
        <w:ind w:left="720" w:firstLine="0"/>
        <w:rPr>
          <w:sz w:val="22"/>
          <w:szCs w:val="22"/>
        </w:rPr>
      </w:pPr>
    </w:p>
    <w:p w:rsidR="0048164E" w:rsidRPr="00135F95" w:rsidRDefault="0048164E" w:rsidP="00CF30C9">
      <w:pPr>
        <w:pStyle w:val="Texto"/>
        <w:numPr>
          <w:ilvl w:val="0"/>
          <w:numId w:val="5"/>
        </w:numPr>
        <w:spacing w:after="0" w:line="276" w:lineRule="auto"/>
        <w:ind w:left="720"/>
        <w:rPr>
          <w:sz w:val="22"/>
          <w:szCs w:val="22"/>
        </w:rPr>
      </w:pPr>
      <w:r w:rsidRPr="00135F95">
        <w:rPr>
          <w:sz w:val="22"/>
          <w:szCs w:val="22"/>
        </w:rPr>
        <w:t xml:space="preserve">Las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que cumplan los porcentajes de aplicación del recurso financiero asignado por la SEP en el ejercicio fiscal 201</w:t>
      </w:r>
      <w:r w:rsidR="0044561A" w:rsidRPr="00135F95">
        <w:rPr>
          <w:sz w:val="22"/>
          <w:szCs w:val="22"/>
        </w:rPr>
        <w:t>1</w:t>
      </w:r>
      <w:r w:rsidRPr="00135F95">
        <w:rPr>
          <w:sz w:val="22"/>
          <w:szCs w:val="22"/>
        </w:rPr>
        <w:t xml:space="preserve">, en apego a lo establecido en el </w:t>
      </w:r>
      <w:r w:rsidRPr="00135F95">
        <w:rPr>
          <w:i/>
          <w:sz w:val="22"/>
          <w:szCs w:val="22"/>
        </w:rPr>
        <w:t xml:space="preserve">numeral 7.1 inciso e) </w:t>
      </w:r>
      <w:r w:rsidRPr="00135F95">
        <w:rPr>
          <w:sz w:val="22"/>
          <w:szCs w:val="22"/>
        </w:rPr>
        <w:t>de las Reglas de Operación del PIFI 201</w:t>
      </w:r>
      <w:r w:rsidR="0041028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>.</w:t>
      </w:r>
    </w:p>
    <w:p w:rsidR="00116200" w:rsidRDefault="00116200" w:rsidP="00CF30C9">
      <w:pPr>
        <w:pStyle w:val="Texto"/>
        <w:spacing w:after="0" w:line="276" w:lineRule="auto"/>
        <w:ind w:left="720" w:firstLine="0"/>
        <w:rPr>
          <w:sz w:val="22"/>
          <w:szCs w:val="22"/>
        </w:rPr>
      </w:pPr>
    </w:p>
    <w:p w:rsidR="00E23DE3" w:rsidRDefault="00E23DE3" w:rsidP="00CF30C9">
      <w:pPr>
        <w:pStyle w:val="Texto"/>
        <w:spacing w:after="0" w:line="276" w:lineRule="auto"/>
        <w:ind w:left="720" w:firstLine="0"/>
        <w:rPr>
          <w:sz w:val="22"/>
          <w:szCs w:val="22"/>
        </w:rPr>
      </w:pPr>
    </w:p>
    <w:p w:rsidR="0033360D" w:rsidRDefault="0033360D" w:rsidP="0033360D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33360D" w:rsidRPr="0033360D" w:rsidRDefault="0033360D" w:rsidP="0033360D">
      <w:pPr>
        <w:spacing w:after="0"/>
        <w:jc w:val="both"/>
        <w:rPr>
          <w:rFonts w:ascii="Arial" w:hAnsi="Arial" w:cs="Arial"/>
          <w:b/>
        </w:rPr>
      </w:pPr>
    </w:p>
    <w:p w:rsidR="00116200" w:rsidRPr="003166EE" w:rsidRDefault="00116200" w:rsidP="00CF30C9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3166EE">
        <w:rPr>
          <w:rFonts w:ascii="Arial" w:hAnsi="Arial" w:cs="Arial"/>
          <w:b/>
        </w:rPr>
        <w:t>Derechos y obligaciones de los beneficiarios.</w:t>
      </w:r>
    </w:p>
    <w:p w:rsidR="00116200" w:rsidRPr="003166EE" w:rsidRDefault="00116200" w:rsidP="00CF30C9">
      <w:pPr>
        <w:ind w:left="360"/>
        <w:jc w:val="both"/>
        <w:rPr>
          <w:rFonts w:ascii="Arial" w:hAnsi="Arial" w:cs="Arial"/>
        </w:rPr>
      </w:pPr>
    </w:p>
    <w:p w:rsidR="00116200" w:rsidRPr="003166EE" w:rsidRDefault="00116200" w:rsidP="00CF30C9">
      <w:pPr>
        <w:ind w:left="360"/>
        <w:jc w:val="both"/>
        <w:rPr>
          <w:rFonts w:ascii="Arial" w:hAnsi="Arial" w:cs="Arial"/>
          <w:b/>
        </w:rPr>
      </w:pPr>
      <w:r w:rsidRPr="003166EE">
        <w:rPr>
          <w:rFonts w:ascii="Arial" w:hAnsi="Arial" w:cs="Arial"/>
          <w:b/>
          <w:u w:val="single"/>
        </w:rPr>
        <w:t>Derechos</w:t>
      </w:r>
      <w:r w:rsidRPr="003166EE">
        <w:rPr>
          <w:rFonts w:ascii="Arial" w:hAnsi="Arial" w:cs="Arial"/>
          <w:b/>
        </w:rPr>
        <w:t>.</w:t>
      </w:r>
    </w:p>
    <w:p w:rsidR="00C76AE7" w:rsidRDefault="0041028E" w:rsidP="00C76AE7">
      <w:pPr>
        <w:pStyle w:val="Texto"/>
        <w:spacing w:after="0" w:line="276" w:lineRule="auto"/>
        <w:ind w:left="360" w:firstLine="0"/>
        <w:rPr>
          <w:sz w:val="22"/>
          <w:szCs w:val="22"/>
        </w:rPr>
      </w:pPr>
      <w:r w:rsidRPr="00135F95">
        <w:rPr>
          <w:sz w:val="22"/>
          <w:szCs w:val="22"/>
        </w:rPr>
        <w:t>Es derecho del beneficiario recibir los apoyos en el tiempo y forma conforme a</w:t>
      </w:r>
      <w:r w:rsidR="00FC63EA" w:rsidRPr="00135F95">
        <w:rPr>
          <w:sz w:val="22"/>
          <w:szCs w:val="22"/>
        </w:rPr>
        <w:t xml:space="preserve"> </w:t>
      </w:r>
      <w:r w:rsidRPr="00135F95">
        <w:rPr>
          <w:sz w:val="22"/>
          <w:szCs w:val="22"/>
        </w:rPr>
        <w:t>lo establecido en el apartado 4.3. Además</w:t>
      </w:r>
      <w:r>
        <w:rPr>
          <w:sz w:val="22"/>
          <w:szCs w:val="22"/>
        </w:rPr>
        <w:t xml:space="preserve"> l</w:t>
      </w:r>
      <w:r w:rsidR="00C76AE7" w:rsidRPr="00C76AE7">
        <w:rPr>
          <w:sz w:val="22"/>
          <w:szCs w:val="22"/>
        </w:rPr>
        <w:t xml:space="preserve">as </w:t>
      </w:r>
      <w:r w:rsidR="00C76AE7" w:rsidRPr="00C76AE7">
        <w:rPr>
          <w:b/>
          <w:sz w:val="22"/>
          <w:szCs w:val="22"/>
        </w:rPr>
        <w:t>IES</w:t>
      </w:r>
      <w:r w:rsidR="00C76AE7" w:rsidRPr="00C76AE7">
        <w:rPr>
          <w:sz w:val="22"/>
          <w:szCs w:val="22"/>
        </w:rPr>
        <w:t xml:space="preserve"> participantes, a través de sus titulares, tendrán el derecho a:</w:t>
      </w:r>
    </w:p>
    <w:p w:rsidR="00C76AE7" w:rsidRPr="00C76AE7" w:rsidRDefault="00C76AE7" w:rsidP="00C76AE7">
      <w:pPr>
        <w:pStyle w:val="Texto"/>
        <w:spacing w:after="0" w:line="276" w:lineRule="auto"/>
        <w:ind w:left="360" w:firstLine="0"/>
        <w:rPr>
          <w:sz w:val="22"/>
          <w:szCs w:val="22"/>
        </w:rPr>
      </w:pPr>
    </w:p>
    <w:p w:rsidR="00C76AE7" w:rsidRPr="00135F95" w:rsidRDefault="00C76AE7" w:rsidP="00C76AE7">
      <w:pPr>
        <w:pStyle w:val="Texto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135F95">
        <w:rPr>
          <w:sz w:val="22"/>
          <w:szCs w:val="22"/>
        </w:rPr>
        <w:t>Conocer el monto asignado para el ejercicio fiscal 201</w:t>
      </w:r>
      <w:r w:rsidR="00FB30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para el desarrollo de los proyectos integrales que </w:t>
      </w:r>
      <w:r w:rsidR="00FB30FE" w:rsidRPr="00135F95">
        <w:rPr>
          <w:sz w:val="22"/>
          <w:szCs w:val="22"/>
        </w:rPr>
        <w:t>sean</w:t>
      </w:r>
      <w:r w:rsidRPr="00135F95">
        <w:rPr>
          <w:sz w:val="22"/>
          <w:szCs w:val="22"/>
        </w:rPr>
        <w:t xml:space="preserve"> dictaminados favorablemente por los Comités de Evaluación, en apego al resultado de la evaluación integral de</w:t>
      </w:r>
      <w:r w:rsidR="00FB30FE" w:rsidRPr="00135F95">
        <w:rPr>
          <w:sz w:val="22"/>
          <w:szCs w:val="22"/>
        </w:rPr>
        <w:t>l</w:t>
      </w:r>
      <w:r w:rsidRPr="00135F95">
        <w:rPr>
          <w:sz w:val="22"/>
          <w:szCs w:val="22"/>
        </w:rPr>
        <w:t xml:space="preserve"> PIFI 201</w:t>
      </w:r>
      <w:r w:rsidR="00FB30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>-201</w:t>
      </w:r>
      <w:r w:rsidR="00FB30FE" w:rsidRPr="00135F95">
        <w:rPr>
          <w:sz w:val="22"/>
          <w:szCs w:val="22"/>
        </w:rPr>
        <w:t>3</w:t>
      </w:r>
      <w:r w:rsidRPr="00135F95">
        <w:rPr>
          <w:sz w:val="22"/>
          <w:szCs w:val="22"/>
        </w:rPr>
        <w:t xml:space="preserve"> y sus elementos (</w:t>
      </w:r>
      <w:proofErr w:type="spellStart"/>
      <w:r w:rsidRPr="00135F95">
        <w:rPr>
          <w:sz w:val="22"/>
          <w:szCs w:val="22"/>
        </w:rPr>
        <w:t>ProGES</w:t>
      </w:r>
      <w:proofErr w:type="spellEnd"/>
      <w:r w:rsidRPr="00135F95">
        <w:rPr>
          <w:sz w:val="22"/>
          <w:szCs w:val="22"/>
        </w:rPr>
        <w:t xml:space="preserve">, </w:t>
      </w:r>
      <w:proofErr w:type="spellStart"/>
      <w:r w:rsidRPr="00135F95">
        <w:rPr>
          <w:sz w:val="22"/>
          <w:szCs w:val="22"/>
        </w:rPr>
        <w:t>ProDES</w:t>
      </w:r>
      <w:proofErr w:type="spellEnd"/>
      <w:r w:rsidRPr="00135F95">
        <w:rPr>
          <w:sz w:val="22"/>
          <w:szCs w:val="22"/>
        </w:rPr>
        <w:t xml:space="preserve"> o </w:t>
      </w:r>
      <w:proofErr w:type="spellStart"/>
      <w:r w:rsidRPr="00135F95">
        <w:rPr>
          <w:sz w:val="22"/>
          <w:szCs w:val="22"/>
        </w:rPr>
        <w:t>ProFOE</w:t>
      </w:r>
      <w:proofErr w:type="spellEnd"/>
      <w:r w:rsidRPr="00135F95">
        <w:rPr>
          <w:sz w:val="22"/>
          <w:szCs w:val="22"/>
        </w:rPr>
        <w:t>).</w:t>
      </w:r>
    </w:p>
    <w:p w:rsidR="00C76AE7" w:rsidRDefault="00C76AE7" w:rsidP="00C76AE7">
      <w:pPr>
        <w:pStyle w:val="Texto"/>
        <w:spacing w:after="0" w:line="276" w:lineRule="auto"/>
        <w:ind w:left="1080" w:firstLine="0"/>
        <w:rPr>
          <w:sz w:val="22"/>
          <w:szCs w:val="22"/>
        </w:rPr>
      </w:pPr>
    </w:p>
    <w:p w:rsidR="00C76AE7" w:rsidRPr="00C76AE7" w:rsidRDefault="00C76AE7" w:rsidP="00C76AE7">
      <w:pPr>
        <w:pStyle w:val="Texto"/>
        <w:numPr>
          <w:ilvl w:val="0"/>
          <w:numId w:val="11"/>
        </w:numPr>
        <w:spacing w:after="0" w:line="276" w:lineRule="auto"/>
        <w:rPr>
          <w:sz w:val="22"/>
          <w:szCs w:val="22"/>
        </w:rPr>
      </w:pPr>
      <w:r w:rsidRPr="00C76AE7">
        <w:rPr>
          <w:sz w:val="22"/>
          <w:szCs w:val="22"/>
        </w:rPr>
        <w:t>Solicitar transferencias por productos financieros, remanentes y/o reprogramaciones, con respecto a los recursos otorgados en el ejercicio fiscal 2011, en apego a las obligaciones de las IES establecidas en el presente apartado.</w:t>
      </w:r>
    </w:p>
    <w:p w:rsidR="00C76AE7" w:rsidRDefault="00C76AE7" w:rsidP="00C76AE7">
      <w:pPr>
        <w:pStyle w:val="Texto"/>
        <w:spacing w:after="0" w:line="276" w:lineRule="auto"/>
        <w:ind w:left="360" w:firstLine="0"/>
        <w:rPr>
          <w:sz w:val="22"/>
          <w:szCs w:val="22"/>
        </w:rPr>
      </w:pPr>
    </w:p>
    <w:p w:rsidR="00C76AE7" w:rsidRPr="00C76AE7" w:rsidRDefault="00C76AE7" w:rsidP="00C76AE7">
      <w:pPr>
        <w:pStyle w:val="Texto"/>
        <w:spacing w:after="0" w:line="276" w:lineRule="auto"/>
        <w:ind w:left="360" w:firstLine="0"/>
        <w:rPr>
          <w:sz w:val="22"/>
          <w:szCs w:val="22"/>
        </w:rPr>
      </w:pPr>
      <w:r w:rsidRPr="00C76AE7">
        <w:rPr>
          <w:sz w:val="22"/>
          <w:szCs w:val="22"/>
        </w:rPr>
        <w:t xml:space="preserve">La </w:t>
      </w:r>
      <w:r w:rsidRPr="00D210D7">
        <w:rPr>
          <w:b/>
          <w:sz w:val="22"/>
          <w:szCs w:val="22"/>
        </w:rPr>
        <w:t>SEP</w:t>
      </w:r>
      <w:r w:rsidRPr="00C76AE7">
        <w:rPr>
          <w:sz w:val="22"/>
          <w:szCs w:val="22"/>
        </w:rPr>
        <w:t xml:space="preserve"> otorgará los recursos del </w:t>
      </w:r>
      <w:r w:rsidRPr="00C76AE7">
        <w:rPr>
          <w:b/>
          <w:sz w:val="22"/>
          <w:szCs w:val="22"/>
        </w:rPr>
        <w:t>PIFI</w:t>
      </w:r>
      <w:r w:rsidRPr="00C76AE7">
        <w:rPr>
          <w:sz w:val="22"/>
          <w:szCs w:val="22"/>
        </w:rPr>
        <w:t xml:space="preserve"> atendiendo al techo presupuestal disponible y a los criterios establecidos en el numeral 4.3 de las Reglas de Operación</w:t>
      </w:r>
      <w:r>
        <w:rPr>
          <w:sz w:val="22"/>
          <w:szCs w:val="22"/>
        </w:rPr>
        <w:t xml:space="preserve"> 201</w:t>
      </w:r>
      <w:r w:rsidR="00FB30FE">
        <w:rPr>
          <w:sz w:val="22"/>
          <w:szCs w:val="22"/>
        </w:rPr>
        <w:t>2</w:t>
      </w:r>
      <w:r>
        <w:rPr>
          <w:sz w:val="22"/>
          <w:szCs w:val="22"/>
        </w:rPr>
        <w:t xml:space="preserve"> del </w:t>
      </w:r>
      <w:r w:rsidRPr="00C76AE7">
        <w:rPr>
          <w:b/>
          <w:sz w:val="22"/>
          <w:szCs w:val="22"/>
        </w:rPr>
        <w:t>PIFI</w:t>
      </w:r>
      <w:r w:rsidRPr="00C76AE7">
        <w:rPr>
          <w:sz w:val="22"/>
          <w:szCs w:val="22"/>
        </w:rPr>
        <w:t xml:space="preserve">, verificando que no se dupliquen con los apoyos federales de recursos extraordinarios adicionales asignados a las </w:t>
      </w:r>
      <w:r w:rsidRPr="00C76AE7">
        <w:rPr>
          <w:b/>
          <w:sz w:val="22"/>
          <w:szCs w:val="22"/>
        </w:rPr>
        <w:t>IES</w:t>
      </w:r>
      <w:r w:rsidRPr="00C76AE7">
        <w:rPr>
          <w:sz w:val="22"/>
          <w:szCs w:val="22"/>
        </w:rPr>
        <w:t xml:space="preserve"> precisadas en el numeral 4.2 de las Reglas </w:t>
      </w:r>
      <w:r>
        <w:rPr>
          <w:sz w:val="22"/>
          <w:szCs w:val="22"/>
        </w:rPr>
        <w:t>en comento.</w:t>
      </w:r>
    </w:p>
    <w:p w:rsidR="00C76AE7" w:rsidRPr="00C76AE7" w:rsidRDefault="00C76AE7" w:rsidP="00C76AE7">
      <w:pPr>
        <w:pStyle w:val="Texto"/>
        <w:spacing w:after="0" w:line="276" w:lineRule="auto"/>
        <w:ind w:left="363" w:firstLine="0"/>
        <w:rPr>
          <w:sz w:val="28"/>
          <w:szCs w:val="22"/>
        </w:rPr>
      </w:pPr>
    </w:p>
    <w:p w:rsidR="00116200" w:rsidRPr="003166EE" w:rsidRDefault="00116200" w:rsidP="00CF30C9">
      <w:pPr>
        <w:pStyle w:val="Texto"/>
        <w:spacing w:after="0" w:line="276" w:lineRule="auto"/>
        <w:ind w:left="375" w:firstLine="0"/>
        <w:rPr>
          <w:b/>
          <w:sz w:val="22"/>
          <w:szCs w:val="22"/>
        </w:rPr>
      </w:pPr>
      <w:r w:rsidRPr="003166EE">
        <w:rPr>
          <w:b/>
          <w:sz w:val="22"/>
          <w:szCs w:val="22"/>
          <w:u w:val="single"/>
        </w:rPr>
        <w:t>Obligaciones</w:t>
      </w:r>
      <w:r w:rsidRPr="003166EE">
        <w:rPr>
          <w:b/>
          <w:sz w:val="22"/>
          <w:szCs w:val="22"/>
        </w:rPr>
        <w:t>.</w:t>
      </w:r>
    </w:p>
    <w:p w:rsidR="00116200" w:rsidRPr="003166EE" w:rsidRDefault="00116200" w:rsidP="00CF30C9">
      <w:pPr>
        <w:pStyle w:val="Texto"/>
        <w:spacing w:after="0" w:line="276" w:lineRule="auto"/>
        <w:ind w:left="375" w:firstLine="0"/>
        <w:rPr>
          <w:sz w:val="22"/>
          <w:szCs w:val="22"/>
        </w:rPr>
      </w:pPr>
    </w:p>
    <w:p w:rsidR="00116200" w:rsidRPr="00135F95" w:rsidRDefault="00116200" w:rsidP="00CF30C9">
      <w:pPr>
        <w:pStyle w:val="Texto"/>
        <w:spacing w:after="0" w:line="276" w:lineRule="auto"/>
        <w:ind w:left="375" w:firstLine="0"/>
        <w:rPr>
          <w:sz w:val="22"/>
          <w:szCs w:val="22"/>
        </w:rPr>
      </w:pPr>
      <w:r w:rsidRPr="003166EE">
        <w:rPr>
          <w:sz w:val="22"/>
          <w:szCs w:val="22"/>
        </w:rPr>
        <w:t xml:space="preserve">Son obligaciones de las </w:t>
      </w:r>
      <w:r w:rsidRPr="003166EE">
        <w:rPr>
          <w:b/>
          <w:sz w:val="22"/>
          <w:szCs w:val="22"/>
        </w:rPr>
        <w:t>IES</w:t>
      </w:r>
      <w:r w:rsidRPr="003166EE">
        <w:rPr>
          <w:sz w:val="22"/>
          <w:szCs w:val="22"/>
        </w:rPr>
        <w:t xml:space="preserve"> públicas </w:t>
      </w:r>
      <w:r w:rsidRPr="00135F95">
        <w:rPr>
          <w:sz w:val="22"/>
          <w:szCs w:val="22"/>
        </w:rPr>
        <w:t xml:space="preserve">participantes en el Programa </w:t>
      </w:r>
      <w:r w:rsidR="00E269D8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:</w:t>
      </w:r>
    </w:p>
    <w:p w:rsidR="00E269D8" w:rsidRPr="00135F95" w:rsidRDefault="00E269D8" w:rsidP="00CF30C9">
      <w:pPr>
        <w:pStyle w:val="Texto"/>
        <w:spacing w:after="0" w:line="276" w:lineRule="auto"/>
        <w:ind w:left="375" w:firstLine="0"/>
        <w:rPr>
          <w:sz w:val="22"/>
          <w:szCs w:val="22"/>
        </w:rPr>
      </w:pPr>
    </w:p>
    <w:p w:rsidR="00E269D8" w:rsidRDefault="00E269D8" w:rsidP="00E4702D">
      <w:pPr>
        <w:pStyle w:val="Texto"/>
        <w:numPr>
          <w:ilvl w:val="0"/>
          <w:numId w:val="12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>Aceptar las disposiciones establecidas en las Reglas de Operación 201</w:t>
      </w:r>
      <w:r w:rsidR="00FB30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del </w:t>
      </w:r>
      <w:r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, en la Convocatoria 201</w:t>
      </w:r>
      <w:r w:rsidR="00FB30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y en la Guía PIFI 201</w:t>
      </w:r>
      <w:r w:rsidR="00FB30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>-201</w:t>
      </w:r>
      <w:r w:rsidR="00FB30FE" w:rsidRPr="00135F95">
        <w:rPr>
          <w:sz w:val="22"/>
          <w:szCs w:val="22"/>
        </w:rPr>
        <w:t>3</w:t>
      </w:r>
      <w:r w:rsidRPr="00135F95">
        <w:rPr>
          <w:sz w:val="22"/>
          <w:szCs w:val="22"/>
        </w:rPr>
        <w:t>, que para tal efecto</w:t>
      </w:r>
      <w:r w:rsidR="00FB30FE">
        <w:rPr>
          <w:sz w:val="22"/>
          <w:szCs w:val="22"/>
        </w:rPr>
        <w:t xml:space="preserve"> emita</w:t>
      </w:r>
      <w:r w:rsidR="0018779E">
        <w:rPr>
          <w:sz w:val="22"/>
          <w:szCs w:val="22"/>
        </w:rPr>
        <w:t>n</w:t>
      </w:r>
      <w:r w:rsidRPr="00E269D8">
        <w:rPr>
          <w:sz w:val="22"/>
          <w:szCs w:val="22"/>
        </w:rPr>
        <w:t xml:space="preserve"> y </w:t>
      </w:r>
      <w:r w:rsidRPr="00EE6F47">
        <w:rPr>
          <w:sz w:val="22"/>
          <w:szCs w:val="22"/>
        </w:rPr>
        <w:t>publi</w:t>
      </w:r>
      <w:r w:rsidR="001B17C0" w:rsidRPr="00EE6F47">
        <w:rPr>
          <w:sz w:val="22"/>
          <w:szCs w:val="22"/>
        </w:rPr>
        <w:t>que</w:t>
      </w:r>
      <w:r w:rsidR="0018779E" w:rsidRPr="00EE6F47">
        <w:rPr>
          <w:sz w:val="22"/>
          <w:szCs w:val="22"/>
        </w:rPr>
        <w:t>n</w:t>
      </w:r>
      <w:r w:rsidR="00FB30FE" w:rsidRPr="00EE6F47">
        <w:rPr>
          <w:sz w:val="22"/>
          <w:szCs w:val="22"/>
        </w:rPr>
        <w:t xml:space="preserve"> </w:t>
      </w:r>
      <w:r w:rsidRPr="00EE6F47">
        <w:rPr>
          <w:sz w:val="22"/>
          <w:szCs w:val="22"/>
        </w:rPr>
        <w:t>o</w:t>
      </w:r>
      <w:r w:rsidRPr="00E269D8">
        <w:rPr>
          <w:sz w:val="22"/>
          <w:szCs w:val="22"/>
        </w:rPr>
        <w:t xml:space="preserve">portunamente la </w:t>
      </w:r>
      <w:r w:rsidRPr="00922CA5">
        <w:rPr>
          <w:b/>
          <w:sz w:val="22"/>
          <w:szCs w:val="22"/>
        </w:rPr>
        <w:t>DGESU</w:t>
      </w:r>
      <w:r w:rsidRPr="00E269D8">
        <w:rPr>
          <w:sz w:val="22"/>
          <w:szCs w:val="22"/>
        </w:rPr>
        <w:t xml:space="preserve"> y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</w:t>
      </w:r>
      <w:r w:rsidRPr="00E269D8">
        <w:rPr>
          <w:sz w:val="22"/>
          <w:szCs w:val="22"/>
        </w:rPr>
        <w:t xml:space="preserve"> en su página de Internet: </w:t>
      </w:r>
      <w:hyperlink r:id="rId13" w:history="1">
        <w:r w:rsidRPr="00AE5C34">
          <w:rPr>
            <w:rStyle w:val="Hipervnculo"/>
            <w:sz w:val="22"/>
            <w:szCs w:val="22"/>
          </w:rPr>
          <w:t>http://pifi.sep.gob.mx/</w:t>
        </w:r>
      </w:hyperlink>
      <w:r w:rsidRPr="00E269D8">
        <w:rPr>
          <w:sz w:val="22"/>
          <w:szCs w:val="22"/>
        </w:rPr>
        <w:t>.</w:t>
      </w:r>
    </w:p>
    <w:p w:rsidR="00E269D8" w:rsidRDefault="00E269D8" w:rsidP="00E4702D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E4702D">
      <w:pPr>
        <w:pStyle w:val="Texto"/>
        <w:numPr>
          <w:ilvl w:val="0"/>
          <w:numId w:val="12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 xml:space="preserve">Finiquitar </w:t>
      </w:r>
      <w:r w:rsidR="0008269D" w:rsidRPr="00135F95">
        <w:rPr>
          <w:sz w:val="22"/>
          <w:szCs w:val="22"/>
        </w:rPr>
        <w:t>el</w:t>
      </w:r>
      <w:r w:rsidRPr="00135F95">
        <w:rPr>
          <w:sz w:val="22"/>
          <w:szCs w:val="22"/>
        </w:rPr>
        <w:t xml:space="preserve"> saldo</w:t>
      </w:r>
      <w:r w:rsidR="0008269D" w:rsidRPr="00135F95">
        <w:rPr>
          <w:sz w:val="22"/>
          <w:szCs w:val="22"/>
        </w:rPr>
        <w:t xml:space="preserve"> pendiente</w:t>
      </w:r>
      <w:r w:rsidRPr="00135F95">
        <w:rPr>
          <w:sz w:val="22"/>
          <w:szCs w:val="22"/>
        </w:rPr>
        <w:t xml:space="preserve"> por productos financieros de 2010 de los Programas </w:t>
      </w:r>
      <w:r w:rsidRPr="00135F95">
        <w:rPr>
          <w:b/>
          <w:sz w:val="22"/>
          <w:szCs w:val="22"/>
        </w:rPr>
        <w:t>FOMES</w:t>
      </w:r>
      <w:r w:rsidRPr="00135F95">
        <w:rPr>
          <w:sz w:val="22"/>
          <w:szCs w:val="22"/>
        </w:rPr>
        <w:t xml:space="preserve"> y </w:t>
      </w:r>
      <w:r w:rsidRPr="00135F95">
        <w:rPr>
          <w:b/>
          <w:sz w:val="22"/>
          <w:szCs w:val="22"/>
        </w:rPr>
        <w:t>FIUPEA</w:t>
      </w:r>
      <w:r w:rsidRPr="00135F95">
        <w:rPr>
          <w:sz w:val="22"/>
          <w:szCs w:val="22"/>
        </w:rPr>
        <w:t>; para lo cual deberán solicitar por escrito, a</w:t>
      </w:r>
      <w:r w:rsidR="0008269D" w:rsidRPr="00135F95">
        <w:rPr>
          <w:sz w:val="22"/>
          <w:szCs w:val="22"/>
        </w:rPr>
        <w:t xml:space="preserve"> más tardar el 29 de </w:t>
      </w:r>
      <w:r w:rsidR="0008269D" w:rsidRPr="00135F95">
        <w:rPr>
          <w:sz w:val="22"/>
          <w:szCs w:val="22"/>
        </w:rPr>
        <w:lastRenderedPageBreak/>
        <w:t>febrero de 2012, a</w:t>
      </w:r>
      <w:r w:rsidRPr="00135F95">
        <w:rPr>
          <w:sz w:val="22"/>
          <w:szCs w:val="22"/>
        </w:rPr>
        <w:t xml:space="preserve"> través </w:t>
      </w:r>
      <w:r w:rsidR="0008269D" w:rsidRPr="00135F95">
        <w:rPr>
          <w:sz w:val="22"/>
          <w:szCs w:val="22"/>
        </w:rPr>
        <w:t>d</w:t>
      </w:r>
      <w:r w:rsidRPr="00135F95">
        <w:rPr>
          <w:sz w:val="22"/>
          <w:szCs w:val="22"/>
        </w:rPr>
        <w:t xml:space="preserve">el formato de </w:t>
      </w:r>
      <w:r w:rsidRPr="00135F95">
        <w:rPr>
          <w:i/>
          <w:sz w:val="22"/>
          <w:szCs w:val="22"/>
        </w:rPr>
        <w:t>Solicitud de transferencia de recursos</w:t>
      </w:r>
      <w:r w:rsidRPr="00135F95">
        <w:rPr>
          <w:sz w:val="22"/>
          <w:szCs w:val="22"/>
        </w:rPr>
        <w:t xml:space="preserve"> (Ver Anexo </w:t>
      </w:r>
      <w:r w:rsidR="0008269D" w:rsidRPr="00135F95">
        <w:rPr>
          <w:sz w:val="22"/>
          <w:szCs w:val="22"/>
        </w:rPr>
        <w:t>4</w:t>
      </w:r>
      <w:r w:rsidR="004410E5" w:rsidRPr="00135F95">
        <w:rPr>
          <w:sz w:val="22"/>
          <w:szCs w:val="22"/>
        </w:rPr>
        <w:t xml:space="preserve"> de las Reglas de Operación 201</w:t>
      </w:r>
      <w:r w:rsidR="0008269D" w:rsidRPr="00135F95">
        <w:rPr>
          <w:sz w:val="22"/>
          <w:szCs w:val="22"/>
        </w:rPr>
        <w:t>2</w:t>
      </w:r>
      <w:r w:rsidR="004410E5" w:rsidRPr="00135F95">
        <w:rPr>
          <w:sz w:val="22"/>
          <w:szCs w:val="22"/>
        </w:rPr>
        <w:t xml:space="preserve">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) proporcionado por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corresponda, observando lo siguiente: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t>1.</w:t>
      </w:r>
      <w:r w:rsidRPr="00135F95">
        <w:tab/>
      </w:r>
      <w:r w:rsidRPr="00135F95">
        <w:rPr>
          <w:sz w:val="22"/>
          <w:szCs w:val="22"/>
        </w:rPr>
        <w:t xml:space="preserve">Estar firmado por el Titular de la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>.</w:t>
      </w:r>
    </w:p>
    <w:p w:rsidR="00E269D8" w:rsidRPr="00135F95" w:rsidRDefault="00E269D8" w:rsidP="00E4702D">
      <w:pPr>
        <w:pStyle w:val="ROMANOS"/>
        <w:spacing w:line="276" w:lineRule="auto"/>
        <w:ind w:left="1167"/>
        <w:rPr>
          <w:sz w:val="22"/>
          <w:szCs w:val="22"/>
        </w:rPr>
      </w:pPr>
      <w:r w:rsidRPr="00135F95">
        <w:rPr>
          <w:sz w:val="22"/>
          <w:szCs w:val="22"/>
        </w:rPr>
        <w:t>2.</w:t>
      </w:r>
      <w:r w:rsidRPr="00135F95">
        <w:rPr>
          <w:sz w:val="22"/>
          <w:szCs w:val="22"/>
        </w:rPr>
        <w:tab/>
        <w:t xml:space="preserve">Ser entregado ante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corresponda. Cada instancia determinará el procedimiento a seguir.</w:t>
      </w:r>
    </w:p>
    <w:p w:rsidR="00E269D8" w:rsidRPr="00135F95" w:rsidRDefault="00E269D8" w:rsidP="00E4702D">
      <w:pPr>
        <w:pStyle w:val="ROMANOS"/>
        <w:spacing w:line="276" w:lineRule="auto"/>
        <w:ind w:left="1167"/>
        <w:rPr>
          <w:sz w:val="22"/>
          <w:szCs w:val="22"/>
        </w:rPr>
      </w:pPr>
      <w:r w:rsidRPr="00135F95">
        <w:rPr>
          <w:sz w:val="22"/>
          <w:szCs w:val="22"/>
        </w:rPr>
        <w:t>3.</w:t>
      </w:r>
      <w:r w:rsidRPr="00135F95">
        <w:rPr>
          <w:sz w:val="22"/>
          <w:szCs w:val="22"/>
        </w:rPr>
        <w:tab/>
        <w:t>Indicar que el tipo de saldo a ejercer es por productos financieros.</w:t>
      </w:r>
    </w:p>
    <w:p w:rsidR="00E269D8" w:rsidRPr="00135F95" w:rsidRDefault="00E269D8" w:rsidP="00E4702D">
      <w:pPr>
        <w:pStyle w:val="ROMANOS"/>
        <w:spacing w:line="276" w:lineRule="auto"/>
        <w:ind w:left="1167"/>
        <w:rPr>
          <w:sz w:val="22"/>
          <w:szCs w:val="22"/>
        </w:rPr>
      </w:pPr>
      <w:r w:rsidRPr="00135F95">
        <w:rPr>
          <w:sz w:val="22"/>
          <w:szCs w:val="22"/>
        </w:rPr>
        <w:t>4.</w:t>
      </w:r>
      <w:r w:rsidRPr="00135F95">
        <w:rPr>
          <w:sz w:val="22"/>
          <w:szCs w:val="22"/>
        </w:rPr>
        <w:tab/>
        <w:t>Las solicitudes deberán observar las siguientes prioridades:</w:t>
      </w:r>
    </w:p>
    <w:p w:rsidR="00E269D8" w:rsidRPr="00135F95" w:rsidRDefault="00E269D8" w:rsidP="00E4702D">
      <w:pPr>
        <w:pStyle w:val="INCISO"/>
        <w:spacing w:line="276" w:lineRule="auto"/>
        <w:ind w:left="1527"/>
        <w:rPr>
          <w:sz w:val="22"/>
          <w:szCs w:val="22"/>
        </w:rPr>
      </w:pPr>
      <w:r w:rsidRPr="00135F95">
        <w:rPr>
          <w:sz w:val="22"/>
          <w:szCs w:val="22"/>
        </w:rPr>
        <w:t>i.</w:t>
      </w:r>
      <w:r w:rsidRPr="00135F95">
        <w:rPr>
          <w:sz w:val="22"/>
          <w:szCs w:val="22"/>
        </w:rPr>
        <w:tab/>
        <w:t>Primero. Para los proyectos evaluados favorablemente en 201</w:t>
      </w:r>
      <w:r w:rsidR="0008269D" w:rsidRPr="00135F95">
        <w:rPr>
          <w:sz w:val="22"/>
          <w:szCs w:val="22"/>
        </w:rPr>
        <w:t>1</w:t>
      </w:r>
      <w:r w:rsidRPr="00135F95">
        <w:rPr>
          <w:sz w:val="22"/>
          <w:szCs w:val="22"/>
        </w:rPr>
        <w:t xml:space="preserve">, cuya asignación en dicho ejercicio fiscal haya sido inferior a lo aprobado por los Comités de Evaluación y </w:t>
      </w:r>
      <w:r w:rsidR="00E11285" w:rsidRPr="00135F95">
        <w:rPr>
          <w:sz w:val="22"/>
          <w:szCs w:val="22"/>
        </w:rPr>
        <w:t xml:space="preserve">que </w:t>
      </w:r>
      <w:r w:rsidRPr="00135F95">
        <w:rPr>
          <w:sz w:val="22"/>
          <w:szCs w:val="22"/>
        </w:rPr>
        <w:t xml:space="preserve">el monto </w:t>
      </w:r>
      <w:r w:rsidR="0008269D" w:rsidRPr="00135F95">
        <w:rPr>
          <w:sz w:val="22"/>
          <w:szCs w:val="22"/>
        </w:rPr>
        <w:t>señal</w:t>
      </w:r>
      <w:r w:rsidRPr="00135F95">
        <w:rPr>
          <w:sz w:val="22"/>
          <w:szCs w:val="22"/>
        </w:rPr>
        <w:t xml:space="preserve">ado </w:t>
      </w:r>
      <w:r w:rsidR="0008269D" w:rsidRPr="00135F95">
        <w:rPr>
          <w:sz w:val="22"/>
          <w:szCs w:val="22"/>
        </w:rPr>
        <w:t xml:space="preserve">en el formato </w:t>
      </w:r>
      <w:r w:rsidRPr="00135F95">
        <w:rPr>
          <w:sz w:val="22"/>
          <w:szCs w:val="22"/>
        </w:rPr>
        <w:t>no exceda lo establecido en el dictamen respectivo.</w:t>
      </w:r>
    </w:p>
    <w:p w:rsidR="00E269D8" w:rsidRPr="009F0FAC" w:rsidRDefault="00E269D8" w:rsidP="00E4702D">
      <w:pPr>
        <w:pStyle w:val="INCISO"/>
        <w:spacing w:line="276" w:lineRule="auto"/>
        <w:ind w:left="1527"/>
        <w:rPr>
          <w:sz w:val="22"/>
          <w:szCs w:val="22"/>
        </w:rPr>
      </w:pPr>
      <w:r w:rsidRPr="00135F95">
        <w:rPr>
          <w:sz w:val="22"/>
          <w:szCs w:val="22"/>
        </w:rPr>
        <w:t>ii.</w:t>
      </w:r>
      <w:r w:rsidRPr="00135F95">
        <w:rPr>
          <w:sz w:val="22"/>
          <w:szCs w:val="22"/>
        </w:rPr>
        <w:tab/>
        <w:t>Segundo. Para los proyectos evaluados favorablemente en 20</w:t>
      </w:r>
      <w:r w:rsidR="00523F7A" w:rsidRPr="00135F95">
        <w:rPr>
          <w:sz w:val="22"/>
          <w:szCs w:val="22"/>
        </w:rPr>
        <w:t>1</w:t>
      </w:r>
      <w:r w:rsidRPr="00135F95">
        <w:rPr>
          <w:sz w:val="22"/>
          <w:szCs w:val="22"/>
        </w:rPr>
        <w:t xml:space="preserve">0, cuya asignación en dicho año haya sido inferior a lo aprobado por los Comités de Evaluación y </w:t>
      </w:r>
      <w:r w:rsidR="00523F7A" w:rsidRPr="00135F95">
        <w:rPr>
          <w:sz w:val="22"/>
          <w:szCs w:val="22"/>
        </w:rPr>
        <w:t xml:space="preserve">que </w:t>
      </w:r>
      <w:r w:rsidRPr="00135F95">
        <w:rPr>
          <w:sz w:val="22"/>
          <w:szCs w:val="22"/>
        </w:rPr>
        <w:t xml:space="preserve">el monto </w:t>
      </w:r>
      <w:r w:rsidR="00523F7A" w:rsidRPr="00135F95">
        <w:rPr>
          <w:sz w:val="22"/>
          <w:szCs w:val="22"/>
        </w:rPr>
        <w:t>señalado</w:t>
      </w:r>
      <w:r w:rsidRPr="00135F95">
        <w:rPr>
          <w:sz w:val="22"/>
          <w:szCs w:val="22"/>
        </w:rPr>
        <w:t xml:space="preserve"> </w:t>
      </w:r>
      <w:r w:rsidR="00523F7A" w:rsidRPr="00135F95">
        <w:rPr>
          <w:sz w:val="22"/>
          <w:szCs w:val="22"/>
        </w:rPr>
        <w:t xml:space="preserve">en el formato </w:t>
      </w:r>
      <w:r w:rsidRPr="00135F95">
        <w:rPr>
          <w:sz w:val="22"/>
          <w:szCs w:val="22"/>
        </w:rPr>
        <w:t>no exceda lo establecido en el dictamen respectivo.</w:t>
      </w:r>
    </w:p>
    <w:p w:rsidR="00E269D8" w:rsidRDefault="00E269D8" w:rsidP="00FA1C91">
      <w:pPr>
        <w:pStyle w:val="INCISO"/>
        <w:spacing w:after="0" w:line="276" w:lineRule="auto"/>
        <w:ind w:left="1527"/>
        <w:rPr>
          <w:sz w:val="22"/>
          <w:szCs w:val="22"/>
        </w:rPr>
      </w:pPr>
      <w:r w:rsidRPr="009F0FAC">
        <w:rPr>
          <w:sz w:val="22"/>
          <w:szCs w:val="22"/>
        </w:rPr>
        <w:t>iii.</w:t>
      </w:r>
      <w:r w:rsidRPr="009F0FAC">
        <w:rPr>
          <w:sz w:val="22"/>
          <w:szCs w:val="22"/>
        </w:rPr>
        <w:tab/>
        <w:t xml:space="preserve">Para los casos no previstos en los </w:t>
      </w:r>
      <w:r w:rsidRPr="000E14AB">
        <w:rPr>
          <w:i/>
          <w:sz w:val="22"/>
          <w:szCs w:val="22"/>
        </w:rPr>
        <w:t>subíndices i</w:t>
      </w:r>
      <w:r w:rsidRPr="009F0FAC">
        <w:rPr>
          <w:sz w:val="22"/>
          <w:szCs w:val="22"/>
        </w:rPr>
        <w:t xml:space="preserve"> e </w:t>
      </w:r>
      <w:r w:rsidRPr="000E14AB">
        <w:rPr>
          <w:i/>
          <w:sz w:val="22"/>
          <w:szCs w:val="22"/>
        </w:rPr>
        <w:t>ii</w:t>
      </w:r>
      <w:r w:rsidRPr="009F0FAC">
        <w:rPr>
          <w:sz w:val="22"/>
          <w:szCs w:val="22"/>
        </w:rPr>
        <w:t xml:space="preserve"> anteriores, la </w:t>
      </w:r>
      <w:r w:rsidRPr="009F0FAC">
        <w:rPr>
          <w:b/>
          <w:sz w:val="22"/>
          <w:szCs w:val="22"/>
        </w:rPr>
        <w:t>DGESU</w:t>
      </w:r>
      <w:r w:rsidRPr="009F0FAC">
        <w:rPr>
          <w:sz w:val="22"/>
          <w:szCs w:val="22"/>
        </w:rPr>
        <w:t xml:space="preserve"> o la </w:t>
      </w:r>
      <w:r w:rsidRPr="009F0FAC">
        <w:rPr>
          <w:b/>
          <w:sz w:val="22"/>
          <w:szCs w:val="22"/>
        </w:rPr>
        <w:t>CGTU</w:t>
      </w:r>
      <w:r w:rsidRPr="009F0FAC">
        <w:rPr>
          <w:sz w:val="22"/>
          <w:szCs w:val="22"/>
        </w:rPr>
        <w:t>, según corresponda, previa revisión, resolverán lo conducente.</w:t>
      </w:r>
    </w:p>
    <w:p w:rsidR="009F0FAC" w:rsidRPr="009F0FAC" w:rsidRDefault="009F0FAC" w:rsidP="00FA1C91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E4702D">
      <w:pPr>
        <w:pStyle w:val="Texto"/>
        <w:numPr>
          <w:ilvl w:val="0"/>
          <w:numId w:val="12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>Ejercer a</w:t>
      </w:r>
      <w:r w:rsidR="00523F7A" w:rsidRPr="00135F95">
        <w:rPr>
          <w:sz w:val="22"/>
          <w:szCs w:val="22"/>
        </w:rPr>
        <w:t xml:space="preserve">ntes del </w:t>
      </w:r>
      <w:r w:rsidRPr="00135F95">
        <w:rPr>
          <w:sz w:val="22"/>
          <w:szCs w:val="22"/>
        </w:rPr>
        <w:t>último día hábil del mes de noviembre de 201</w:t>
      </w:r>
      <w:r w:rsidR="00523F7A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>, la totalidad de los recursos asignados para el ejercicio fiscal 201</w:t>
      </w:r>
      <w:r w:rsidR="00523F7A" w:rsidRPr="00135F95">
        <w:rPr>
          <w:sz w:val="22"/>
          <w:szCs w:val="22"/>
        </w:rPr>
        <w:t>1</w:t>
      </w:r>
      <w:r w:rsidRPr="00135F95">
        <w:rPr>
          <w:sz w:val="22"/>
          <w:szCs w:val="22"/>
        </w:rPr>
        <w:t xml:space="preserve"> a través del</w:t>
      </w:r>
      <w:r w:rsidR="00523F7A" w:rsidRPr="00135F95">
        <w:rPr>
          <w:sz w:val="22"/>
          <w:szCs w:val="22"/>
        </w:rPr>
        <w:t xml:space="preserve"> PIFI</w:t>
      </w:r>
      <w:r w:rsidRPr="00135F95">
        <w:rPr>
          <w:sz w:val="22"/>
          <w:szCs w:val="22"/>
        </w:rPr>
        <w:t xml:space="preserve">. En caso de presentarse algún remanente por concepto de </w:t>
      </w:r>
      <w:r w:rsidR="00523F7A" w:rsidRPr="00135F95">
        <w:rPr>
          <w:sz w:val="22"/>
          <w:szCs w:val="22"/>
        </w:rPr>
        <w:t xml:space="preserve">recursos no aplicados </w:t>
      </w:r>
      <w:r w:rsidRPr="00135F95">
        <w:rPr>
          <w:sz w:val="22"/>
          <w:szCs w:val="22"/>
        </w:rPr>
        <w:t>financieros</w:t>
      </w:r>
      <w:r w:rsidR="00523F7A" w:rsidRPr="00135F95">
        <w:rPr>
          <w:sz w:val="22"/>
          <w:szCs w:val="22"/>
        </w:rPr>
        <w:t xml:space="preserve"> del ejercicio anterior referido</w:t>
      </w:r>
      <w:r w:rsidRPr="00135F95">
        <w:rPr>
          <w:sz w:val="22"/>
          <w:szCs w:val="22"/>
        </w:rPr>
        <w:t>, deberá solicitarse para su autorización a más a tardar el último día hábil del mes de febrero de 201</w:t>
      </w:r>
      <w:r w:rsidR="00523F7A" w:rsidRPr="00135F95">
        <w:rPr>
          <w:sz w:val="22"/>
          <w:szCs w:val="22"/>
        </w:rPr>
        <w:t>3</w:t>
      </w:r>
      <w:r w:rsidRPr="00135F95">
        <w:rPr>
          <w:sz w:val="22"/>
          <w:szCs w:val="22"/>
        </w:rPr>
        <w:t xml:space="preserve">, a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corresponda.</w:t>
      </w:r>
    </w:p>
    <w:p w:rsidR="009F0FAC" w:rsidRPr="00135F95" w:rsidRDefault="009F0FAC" w:rsidP="00E4702D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E4702D">
      <w:pPr>
        <w:pStyle w:val="Texto"/>
        <w:numPr>
          <w:ilvl w:val="0"/>
          <w:numId w:val="12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>Abrir una subcuenta para el ejercicio fiscal 201</w:t>
      </w:r>
      <w:r w:rsidR="0050418A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en su fideicomiso </w:t>
      </w:r>
      <w:r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 o en caso de no tener constituido dicho fideicomiso, constituir ante institución bancaria legalmente autorizada un fideicomiso bajo la denominación Fideicomiso </w:t>
      </w:r>
      <w:r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 y en los casos </w:t>
      </w:r>
      <w:r w:rsidR="0050418A" w:rsidRPr="00135F95">
        <w:rPr>
          <w:sz w:val="22"/>
          <w:szCs w:val="22"/>
        </w:rPr>
        <w:t>en donde el monto asignado sea menor a $ 2 millones de pesos</w:t>
      </w:r>
      <w:r w:rsidRPr="00135F95">
        <w:rPr>
          <w:sz w:val="22"/>
          <w:szCs w:val="22"/>
        </w:rPr>
        <w:t xml:space="preserve">, previa autorización expresa de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 xml:space="preserve">, según corresponda, abrir una cuenta de cheques productiva específica para el depósito y administración de los recursos que aporte la </w:t>
      </w:r>
      <w:r w:rsidRPr="00135F95">
        <w:rPr>
          <w:b/>
          <w:sz w:val="22"/>
          <w:szCs w:val="22"/>
        </w:rPr>
        <w:t>SEP</w:t>
      </w:r>
      <w:r w:rsidRPr="00135F95">
        <w:rPr>
          <w:sz w:val="22"/>
          <w:szCs w:val="22"/>
        </w:rPr>
        <w:t xml:space="preserve"> en el marco del </w:t>
      </w:r>
      <w:r w:rsidR="0050418A" w:rsidRPr="00135F95">
        <w:rPr>
          <w:sz w:val="22"/>
          <w:szCs w:val="22"/>
        </w:rPr>
        <w:t>Programa</w:t>
      </w:r>
      <w:r w:rsidRPr="00135F95">
        <w:rPr>
          <w:sz w:val="22"/>
          <w:szCs w:val="22"/>
        </w:rPr>
        <w:t xml:space="preserve"> y entregar fotocopia del documento que avale la apertura de la subcuenta o de la cuenta de cheques</w:t>
      </w:r>
      <w:r w:rsidRPr="009F0FAC">
        <w:rPr>
          <w:sz w:val="22"/>
          <w:szCs w:val="22"/>
        </w:rPr>
        <w:t xml:space="preserve"> </w:t>
      </w:r>
      <w:r w:rsidRPr="009F0FAC">
        <w:rPr>
          <w:sz w:val="22"/>
          <w:szCs w:val="22"/>
        </w:rPr>
        <w:lastRenderedPageBreak/>
        <w:t xml:space="preserve">productiva a la </w:t>
      </w:r>
      <w:r w:rsidRPr="00E4702D">
        <w:rPr>
          <w:b/>
          <w:sz w:val="22"/>
          <w:szCs w:val="22"/>
        </w:rPr>
        <w:t>DGESU</w:t>
      </w:r>
      <w:r w:rsidRPr="009F0FAC">
        <w:rPr>
          <w:sz w:val="22"/>
          <w:szCs w:val="22"/>
        </w:rPr>
        <w:t xml:space="preserve"> </w:t>
      </w:r>
      <w:r w:rsidRPr="00135F95">
        <w:rPr>
          <w:sz w:val="22"/>
          <w:szCs w:val="22"/>
        </w:rPr>
        <w:t xml:space="preserve">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corresponda, dentro de un periodo de 20 días hábiles posteriores a la celebración del mismo.</w:t>
      </w:r>
    </w:p>
    <w:p w:rsidR="009F0FAC" w:rsidRPr="00135F95" w:rsidRDefault="009F0FAC" w:rsidP="00AE7BB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A1C91">
      <w:pPr>
        <w:pStyle w:val="Texto"/>
        <w:numPr>
          <w:ilvl w:val="0"/>
          <w:numId w:val="12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 xml:space="preserve">Designar el Comité Técnico del </w:t>
      </w:r>
      <w:r w:rsidR="001F30A6" w:rsidRPr="00135F95">
        <w:rPr>
          <w:sz w:val="22"/>
          <w:szCs w:val="22"/>
        </w:rPr>
        <w:t>F</w:t>
      </w:r>
      <w:r w:rsidRPr="00135F95">
        <w:rPr>
          <w:sz w:val="22"/>
          <w:szCs w:val="22"/>
        </w:rPr>
        <w:t xml:space="preserve">ideicomiso formado por al menos cuatro personas de la </w:t>
      </w:r>
      <w:r w:rsidR="001F30A6" w:rsidRPr="00135F95">
        <w:rPr>
          <w:sz w:val="22"/>
          <w:szCs w:val="22"/>
        </w:rPr>
        <w:t>Institución</w:t>
      </w:r>
      <w:r w:rsidRPr="00135F95">
        <w:rPr>
          <w:sz w:val="22"/>
          <w:szCs w:val="22"/>
        </w:rPr>
        <w:t xml:space="preserve">: una nombrada por su titular; otra cuya función esté directamente relacionada con la operación y administración del Fideicomiso; una tercera, que sea miembro de la Contraloría Interna, con la responsabilidad específica de vigilar la aplicación y el ejercicio del patrimonio del Fideicomiso, y la cuarta será el titular de la </w:t>
      </w:r>
      <w:r w:rsidR="001F30A6" w:rsidRPr="00135F95">
        <w:rPr>
          <w:sz w:val="22"/>
          <w:szCs w:val="22"/>
        </w:rPr>
        <w:t>Institución</w:t>
      </w:r>
      <w:r w:rsidRPr="00135F95">
        <w:rPr>
          <w:sz w:val="22"/>
          <w:szCs w:val="22"/>
        </w:rPr>
        <w:t xml:space="preserve"> quien presidirá el Comité Técnico, el cual será responsable de:</w:t>
      </w:r>
    </w:p>
    <w:p w:rsidR="00FA1C91" w:rsidRPr="00135F95" w:rsidRDefault="00FA1C91" w:rsidP="00FA1C91">
      <w:pPr>
        <w:pStyle w:val="Prrafodelista"/>
        <w:spacing w:after="0"/>
      </w:pPr>
    </w:p>
    <w:p w:rsidR="00E269D8" w:rsidRPr="00135F95" w:rsidRDefault="00E269D8" w:rsidP="00FA1C91">
      <w:pPr>
        <w:pStyle w:val="ROMANOS"/>
        <w:spacing w:after="0" w:line="276" w:lineRule="auto"/>
        <w:ind w:left="1163" w:hanging="431"/>
        <w:rPr>
          <w:sz w:val="22"/>
          <w:szCs w:val="22"/>
        </w:rPr>
      </w:pPr>
      <w:r w:rsidRPr="00135F95">
        <w:t>1.</w:t>
      </w:r>
      <w:r w:rsidRPr="00135F95">
        <w:tab/>
      </w:r>
      <w:r w:rsidRPr="00135F95">
        <w:rPr>
          <w:sz w:val="22"/>
          <w:szCs w:val="22"/>
        </w:rPr>
        <w:t xml:space="preserve">Entregar a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corresponda, copia del contrato del fideicomiso y de la apertura de las subcuentas correspondientes, así como de todos los estados de cuenta que mensualmente expida la institución bancaria respectiva, hasta el finiquito de dicho fideicomiso o cuenta de cheques productiva.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2.</w:t>
      </w:r>
      <w:r w:rsidRPr="00135F95">
        <w:rPr>
          <w:sz w:val="22"/>
          <w:szCs w:val="22"/>
        </w:rPr>
        <w:tab/>
        <w:t>Vigilar el efectivo cumplimiento de todos y cada uno de los fines del fideicomiso.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3.</w:t>
      </w:r>
      <w:r w:rsidRPr="00135F95">
        <w:rPr>
          <w:sz w:val="22"/>
          <w:szCs w:val="22"/>
        </w:rPr>
        <w:tab/>
        <w:t xml:space="preserve">Autorizar el ejercicio de recursos para llevar a cabo los fines del fideicomiso, de acuerdo con los programas y las instrucciones que el mismo establezca y en cumplimiento de lo convenido entre la </w:t>
      </w:r>
      <w:r w:rsidRPr="00135F95">
        <w:rPr>
          <w:b/>
          <w:sz w:val="22"/>
          <w:szCs w:val="22"/>
        </w:rPr>
        <w:t>SEP</w:t>
      </w:r>
      <w:r w:rsidRPr="00135F95">
        <w:rPr>
          <w:sz w:val="22"/>
          <w:szCs w:val="22"/>
        </w:rPr>
        <w:t xml:space="preserve"> y la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en el marco de la aplicación de los recursos extraordinarios </w:t>
      </w:r>
      <w:proofErr w:type="spellStart"/>
      <w:r w:rsidRPr="00135F95">
        <w:rPr>
          <w:sz w:val="22"/>
          <w:szCs w:val="22"/>
        </w:rPr>
        <w:t>concursables</w:t>
      </w:r>
      <w:proofErr w:type="spellEnd"/>
      <w:r w:rsidRPr="00135F95">
        <w:rPr>
          <w:sz w:val="22"/>
          <w:szCs w:val="22"/>
        </w:rPr>
        <w:t xml:space="preserve"> no </w:t>
      </w:r>
      <w:proofErr w:type="spellStart"/>
      <w:r w:rsidRPr="00135F95">
        <w:rPr>
          <w:sz w:val="22"/>
          <w:szCs w:val="22"/>
        </w:rPr>
        <w:t>regularizables</w:t>
      </w:r>
      <w:proofErr w:type="spellEnd"/>
      <w:r w:rsidRPr="00135F95">
        <w:rPr>
          <w:sz w:val="22"/>
          <w:szCs w:val="22"/>
        </w:rPr>
        <w:t xml:space="preserve"> recibidos a través del </w:t>
      </w:r>
      <w:r w:rsidR="001F30A6" w:rsidRPr="00135F95">
        <w:rPr>
          <w:sz w:val="22"/>
          <w:szCs w:val="22"/>
        </w:rPr>
        <w:t>Programa</w:t>
      </w:r>
      <w:r w:rsidRPr="00135F95">
        <w:rPr>
          <w:sz w:val="22"/>
          <w:szCs w:val="22"/>
        </w:rPr>
        <w:t>.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4.</w:t>
      </w:r>
      <w:r w:rsidRPr="00135F95">
        <w:rPr>
          <w:sz w:val="22"/>
          <w:szCs w:val="22"/>
        </w:rPr>
        <w:tab/>
        <w:t>Autorizar la celebración de actos jurídicos de los cuales se deriven derechos y obligaciones con cargo al patrimonio del fideicomiso.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5.</w:t>
      </w:r>
      <w:r w:rsidRPr="00135F95">
        <w:rPr>
          <w:sz w:val="22"/>
          <w:szCs w:val="22"/>
        </w:rPr>
        <w:tab/>
        <w:t>Instruir a la institución fiduciaria respecto a la política de inversión del patrimonio del fideicomiso.</w:t>
      </w:r>
    </w:p>
    <w:p w:rsidR="00E269D8" w:rsidRPr="00135F9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6.</w:t>
      </w:r>
      <w:r w:rsidRPr="00135F95">
        <w:rPr>
          <w:sz w:val="22"/>
          <w:szCs w:val="22"/>
        </w:rPr>
        <w:tab/>
        <w:t xml:space="preserve">Atender en el marco de sus atribuciones y facultades, todo lo relacionado con el fin para el que fue constituido el Fideicomiso </w:t>
      </w:r>
      <w:r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 y cualesquiera otras obligaciones derivadas de las disposiciones jurídicas aplicables.</w:t>
      </w:r>
    </w:p>
    <w:p w:rsidR="00AE7BB5" w:rsidRDefault="00E269D8" w:rsidP="00E4702D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7.</w:t>
      </w:r>
      <w:r w:rsidRPr="00135F95">
        <w:rPr>
          <w:sz w:val="22"/>
          <w:szCs w:val="22"/>
        </w:rPr>
        <w:tab/>
        <w:t>Considerar que en apego al Anexo de reprogramación autorizado correspondiente al ejercicio fiscal 201</w:t>
      </w:r>
      <w:r w:rsidR="004656FE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del </w:t>
      </w:r>
      <w:r w:rsidR="004656FE" w:rsidRPr="00135F95">
        <w:rPr>
          <w:sz w:val="22"/>
          <w:szCs w:val="22"/>
        </w:rPr>
        <w:t>Programa</w:t>
      </w:r>
      <w:r w:rsidRPr="00135F95">
        <w:rPr>
          <w:sz w:val="22"/>
          <w:szCs w:val="22"/>
        </w:rPr>
        <w:t xml:space="preserve">, la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podrá solicitar por escrito a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corresponda, a partir del mes de enero de 201</w:t>
      </w:r>
      <w:r w:rsidR="004656FE" w:rsidRPr="00135F95">
        <w:rPr>
          <w:sz w:val="22"/>
          <w:szCs w:val="22"/>
        </w:rPr>
        <w:t>3</w:t>
      </w:r>
      <w:r w:rsidRPr="00135F95">
        <w:rPr>
          <w:sz w:val="22"/>
          <w:szCs w:val="22"/>
        </w:rPr>
        <w:t>, la autorización para:</w:t>
      </w:r>
    </w:p>
    <w:p w:rsidR="00E269D8" w:rsidRPr="00D854A1" w:rsidRDefault="00AE7BB5" w:rsidP="00D854A1">
      <w:pPr>
        <w:pStyle w:val="Prrafodelista"/>
        <w:numPr>
          <w:ilvl w:val="0"/>
          <w:numId w:val="18"/>
        </w:numPr>
        <w:ind w:left="1560" w:hanging="426"/>
        <w:rPr>
          <w:rFonts w:ascii="Arial" w:eastAsia="Times New Roman" w:hAnsi="Arial" w:cs="Arial"/>
          <w:szCs w:val="18"/>
          <w:lang w:val="es-ES" w:eastAsia="es-ES"/>
        </w:rPr>
      </w:pPr>
      <w:r>
        <w:br w:type="page"/>
      </w:r>
      <w:r w:rsidR="00E269D8" w:rsidRPr="00D854A1">
        <w:rPr>
          <w:rFonts w:ascii="Arial" w:eastAsia="Times New Roman" w:hAnsi="Arial" w:cs="Arial"/>
          <w:szCs w:val="18"/>
          <w:lang w:val="es-ES" w:eastAsia="es-ES"/>
        </w:rPr>
        <w:lastRenderedPageBreak/>
        <w:t>Transferencia de productos financieros generados por intereses de los proyectos apoyados en el ejercicio fiscal 2011, que hayan sido evaluados favorablemente y que los montos a transferir no sean mayores a lo solicitado originalmente o a los establecidos en el dictamen de los proyectos.</w:t>
      </w:r>
    </w:p>
    <w:p w:rsidR="00E269D8" w:rsidRPr="00135F95" w:rsidRDefault="00E269D8" w:rsidP="00AE7BB5">
      <w:pPr>
        <w:pStyle w:val="INCISO"/>
        <w:spacing w:line="276" w:lineRule="auto"/>
        <w:ind w:left="1523"/>
        <w:rPr>
          <w:sz w:val="22"/>
        </w:rPr>
      </w:pPr>
      <w:r w:rsidRPr="00AE7BB5">
        <w:rPr>
          <w:sz w:val="22"/>
        </w:rPr>
        <w:t>b)</w:t>
      </w:r>
      <w:r w:rsidRPr="00AE7BB5">
        <w:rPr>
          <w:sz w:val="22"/>
        </w:rPr>
        <w:tab/>
      </w:r>
      <w:r w:rsidRPr="00135F95">
        <w:rPr>
          <w:sz w:val="22"/>
        </w:rPr>
        <w:t xml:space="preserve">Transferencia de remanentes generados por ahorros en la optimización del gasto. </w:t>
      </w:r>
      <w:r w:rsidR="00AE7BB5" w:rsidRPr="00135F95">
        <w:rPr>
          <w:sz w:val="22"/>
        </w:rPr>
        <w:t>Ú</w:t>
      </w:r>
      <w:r w:rsidRPr="00135F95">
        <w:rPr>
          <w:sz w:val="22"/>
        </w:rPr>
        <w:t xml:space="preserve">nicamente se autorizarán siempre y </w:t>
      </w:r>
      <w:r w:rsidRPr="00EE6F47">
        <w:rPr>
          <w:sz w:val="22"/>
        </w:rPr>
        <w:t>cuando se haya cumplido</w:t>
      </w:r>
      <w:r w:rsidRPr="00135F95">
        <w:rPr>
          <w:sz w:val="22"/>
        </w:rPr>
        <w:t xml:space="preserve"> </w:t>
      </w:r>
      <w:r w:rsidR="00D854A1" w:rsidRPr="00135F95">
        <w:rPr>
          <w:sz w:val="22"/>
        </w:rPr>
        <w:t>e</w:t>
      </w:r>
      <w:r w:rsidRPr="00135F95">
        <w:rPr>
          <w:sz w:val="22"/>
        </w:rPr>
        <w:t>l alcance programático de</w:t>
      </w:r>
      <w:r w:rsidR="002E35C4" w:rsidRPr="00135F95">
        <w:rPr>
          <w:sz w:val="22"/>
        </w:rPr>
        <w:t xml:space="preserve"> la(s) acción(es), de</w:t>
      </w:r>
      <w:r w:rsidRPr="00135F95">
        <w:rPr>
          <w:sz w:val="22"/>
        </w:rPr>
        <w:t>(los) proyecto(s) que origina(n) el remanente y que el monto a transferir no sea mayor a lo establecido en el dictamen emitido por los Comités de Evaluación.</w:t>
      </w:r>
    </w:p>
    <w:p w:rsidR="00E269D8" w:rsidRPr="00135F95" w:rsidRDefault="00E269D8" w:rsidP="00AE7BB5">
      <w:pPr>
        <w:pStyle w:val="INCISO"/>
        <w:spacing w:line="276" w:lineRule="auto"/>
        <w:ind w:left="1523"/>
        <w:rPr>
          <w:sz w:val="22"/>
        </w:rPr>
      </w:pPr>
      <w:r w:rsidRPr="00135F95">
        <w:rPr>
          <w:sz w:val="22"/>
        </w:rPr>
        <w:t>c)</w:t>
      </w:r>
      <w:r w:rsidRPr="00135F95">
        <w:rPr>
          <w:sz w:val="22"/>
        </w:rPr>
        <w:tab/>
        <w:t xml:space="preserve">Transferencia por reprogramación de recursos de una misma acción en los rubros de gasto solicitados originalmente y autorizados </w:t>
      </w:r>
      <w:r w:rsidR="00D66EA2" w:rsidRPr="00135F95">
        <w:rPr>
          <w:sz w:val="22"/>
        </w:rPr>
        <w:t>por los Comités de E</w:t>
      </w:r>
      <w:r w:rsidRPr="00135F95">
        <w:rPr>
          <w:sz w:val="22"/>
        </w:rPr>
        <w:t>valuación, siempre y cuando no se modifique el alcance de las metas académicas</w:t>
      </w:r>
      <w:r w:rsidR="00146C64" w:rsidRPr="00135F95">
        <w:rPr>
          <w:sz w:val="22"/>
        </w:rPr>
        <w:t xml:space="preserve"> y Metas Compromiso</w:t>
      </w:r>
      <w:r w:rsidRPr="00135F95">
        <w:rPr>
          <w:sz w:val="22"/>
        </w:rPr>
        <w:t>.</w:t>
      </w:r>
    </w:p>
    <w:p w:rsidR="00E269D8" w:rsidRPr="00135F95" w:rsidRDefault="00AE7BB5" w:rsidP="00AE7BB5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ab/>
      </w:r>
      <w:r w:rsidR="00E269D8" w:rsidRPr="00135F95">
        <w:rPr>
          <w:sz w:val="22"/>
          <w:szCs w:val="22"/>
        </w:rPr>
        <w:t>Las solicitudes de transferencia podrán ser autorizadas por una sola ocasión a partir del dictamen académico favorable que emita la Dirección de Fortalecimiento Institucional (</w:t>
      </w:r>
      <w:r w:rsidR="00E269D8" w:rsidRPr="00135F95">
        <w:rPr>
          <w:b/>
          <w:sz w:val="22"/>
          <w:szCs w:val="22"/>
        </w:rPr>
        <w:t>DFI</w:t>
      </w:r>
      <w:r w:rsidR="00E269D8" w:rsidRPr="00135F95">
        <w:rPr>
          <w:sz w:val="22"/>
          <w:szCs w:val="22"/>
        </w:rPr>
        <w:t xml:space="preserve">) de la </w:t>
      </w:r>
      <w:r w:rsidR="00E269D8" w:rsidRPr="00135F95">
        <w:rPr>
          <w:b/>
          <w:sz w:val="22"/>
          <w:szCs w:val="22"/>
        </w:rPr>
        <w:t>DGESU</w:t>
      </w:r>
      <w:r w:rsidR="00E269D8" w:rsidRPr="00135F95">
        <w:rPr>
          <w:sz w:val="22"/>
          <w:szCs w:val="22"/>
        </w:rPr>
        <w:t xml:space="preserve"> o la </w:t>
      </w:r>
      <w:r w:rsidR="00E269D8" w:rsidRPr="00135F95">
        <w:rPr>
          <w:b/>
          <w:sz w:val="22"/>
          <w:szCs w:val="22"/>
        </w:rPr>
        <w:t>CGUT</w:t>
      </w:r>
      <w:r w:rsidR="00E269D8" w:rsidRPr="00135F95">
        <w:rPr>
          <w:sz w:val="22"/>
          <w:szCs w:val="22"/>
        </w:rPr>
        <w:t xml:space="preserve">, según corresponda, con base en la justificación académica apegada al proceso de planeación realizado por la </w:t>
      </w:r>
      <w:r w:rsidR="00E269D8" w:rsidRPr="00135F95">
        <w:rPr>
          <w:b/>
          <w:sz w:val="22"/>
          <w:szCs w:val="22"/>
        </w:rPr>
        <w:t>IES</w:t>
      </w:r>
      <w:r w:rsidR="00E269D8" w:rsidRPr="00135F95">
        <w:rPr>
          <w:sz w:val="22"/>
          <w:szCs w:val="22"/>
        </w:rPr>
        <w:t xml:space="preserve"> y los dictámenes programático-financiero que proporcione la Dirección de Subsidio a Universidades (</w:t>
      </w:r>
      <w:r w:rsidR="00E269D8" w:rsidRPr="00135F95">
        <w:rPr>
          <w:b/>
          <w:sz w:val="22"/>
          <w:szCs w:val="22"/>
        </w:rPr>
        <w:t>DSU</w:t>
      </w:r>
      <w:r w:rsidR="00E269D8" w:rsidRPr="00135F95">
        <w:rPr>
          <w:sz w:val="22"/>
          <w:szCs w:val="22"/>
        </w:rPr>
        <w:t xml:space="preserve">) de la </w:t>
      </w:r>
      <w:r w:rsidR="00E269D8" w:rsidRPr="00135F95">
        <w:rPr>
          <w:b/>
          <w:sz w:val="22"/>
          <w:szCs w:val="22"/>
        </w:rPr>
        <w:t>DGESU</w:t>
      </w:r>
      <w:r w:rsidR="00E269D8" w:rsidRPr="00135F95">
        <w:rPr>
          <w:sz w:val="22"/>
          <w:szCs w:val="22"/>
        </w:rPr>
        <w:t xml:space="preserve"> o el área competente de la </w:t>
      </w:r>
      <w:r w:rsidR="00E269D8" w:rsidRPr="00135F95">
        <w:rPr>
          <w:b/>
          <w:sz w:val="22"/>
          <w:szCs w:val="22"/>
        </w:rPr>
        <w:t>CGUT</w:t>
      </w:r>
      <w:r w:rsidR="00E269D8" w:rsidRPr="00135F95">
        <w:rPr>
          <w:sz w:val="22"/>
          <w:szCs w:val="22"/>
        </w:rPr>
        <w:t>.</w:t>
      </w:r>
    </w:p>
    <w:p w:rsidR="00E269D8" w:rsidRPr="00135F95" w:rsidRDefault="00E269D8" w:rsidP="00AE7BB5">
      <w:pPr>
        <w:pStyle w:val="ROMANOS"/>
        <w:spacing w:before="120" w:after="120" w:line="276" w:lineRule="auto"/>
        <w:ind w:left="1163" w:hanging="431"/>
        <w:rPr>
          <w:sz w:val="22"/>
          <w:szCs w:val="22"/>
        </w:rPr>
      </w:pPr>
      <w:r w:rsidRPr="00135F95">
        <w:rPr>
          <w:sz w:val="22"/>
          <w:szCs w:val="22"/>
        </w:rPr>
        <w:t>8.</w:t>
      </w:r>
      <w:r w:rsidRPr="00135F95">
        <w:rPr>
          <w:sz w:val="22"/>
          <w:szCs w:val="22"/>
        </w:rPr>
        <w:tab/>
        <w:t>Presentar las solicitudes de transferencias de recursos generados por productos financieros, remanentes y/o reprogramaciones de conformidad con los siguientes requisitos:</w:t>
      </w:r>
    </w:p>
    <w:p w:rsidR="00E269D8" w:rsidRDefault="00E269D8" w:rsidP="00AE7BB5">
      <w:pPr>
        <w:pStyle w:val="INCISO"/>
        <w:numPr>
          <w:ilvl w:val="0"/>
          <w:numId w:val="15"/>
        </w:numPr>
        <w:spacing w:line="276" w:lineRule="auto"/>
        <w:rPr>
          <w:sz w:val="22"/>
        </w:rPr>
      </w:pPr>
      <w:r w:rsidRPr="00135F95">
        <w:rPr>
          <w:sz w:val="22"/>
        </w:rPr>
        <w:t>E</w:t>
      </w:r>
      <w:r w:rsidR="00F672B3" w:rsidRPr="00135F95">
        <w:rPr>
          <w:sz w:val="22"/>
        </w:rPr>
        <w:t>l oficio de solicitud debe estar firmado</w:t>
      </w:r>
      <w:r w:rsidRPr="00135F95">
        <w:rPr>
          <w:sz w:val="22"/>
        </w:rPr>
        <w:t xml:space="preserve"> por el Titular de la </w:t>
      </w:r>
      <w:r w:rsidRPr="00135F95">
        <w:rPr>
          <w:b/>
          <w:sz w:val="22"/>
        </w:rPr>
        <w:t>IES</w:t>
      </w:r>
      <w:r w:rsidRPr="00AE7BB5">
        <w:rPr>
          <w:sz w:val="22"/>
        </w:rPr>
        <w:t>.</w:t>
      </w:r>
    </w:p>
    <w:p w:rsidR="00F672B3" w:rsidRPr="00135F95" w:rsidRDefault="00F672B3" w:rsidP="00AE7BB5">
      <w:pPr>
        <w:pStyle w:val="INCISO"/>
        <w:numPr>
          <w:ilvl w:val="0"/>
          <w:numId w:val="15"/>
        </w:numPr>
        <w:spacing w:line="276" w:lineRule="auto"/>
        <w:rPr>
          <w:sz w:val="22"/>
        </w:rPr>
      </w:pPr>
      <w:r w:rsidRPr="00135F95">
        <w:rPr>
          <w:sz w:val="22"/>
        </w:rPr>
        <w:t>El(Los)</w:t>
      </w:r>
      <w:r w:rsidR="00965427" w:rsidRPr="00135F95">
        <w:rPr>
          <w:sz w:val="22"/>
        </w:rPr>
        <w:t xml:space="preserve"> </w:t>
      </w:r>
      <w:r w:rsidRPr="00135F95">
        <w:rPr>
          <w:sz w:val="22"/>
        </w:rPr>
        <w:t>formato(s) debe(n) estar firmado(s) por el responsable institucional del PIFI y el responsable de cada proyecto beneficiado.</w:t>
      </w:r>
    </w:p>
    <w:p w:rsidR="00E269D8" w:rsidRPr="00135F95" w:rsidRDefault="00E269D8" w:rsidP="00AE7BB5">
      <w:pPr>
        <w:pStyle w:val="INCISO"/>
        <w:numPr>
          <w:ilvl w:val="0"/>
          <w:numId w:val="15"/>
        </w:numPr>
        <w:spacing w:line="276" w:lineRule="auto"/>
        <w:rPr>
          <w:sz w:val="22"/>
        </w:rPr>
      </w:pPr>
      <w:r w:rsidRPr="00135F95">
        <w:rPr>
          <w:sz w:val="22"/>
        </w:rPr>
        <w:t xml:space="preserve">Ser entregadas ante la </w:t>
      </w:r>
      <w:r w:rsidRPr="00135F95">
        <w:rPr>
          <w:b/>
          <w:sz w:val="22"/>
        </w:rPr>
        <w:t>DGESU</w:t>
      </w:r>
      <w:r w:rsidRPr="00135F95">
        <w:rPr>
          <w:sz w:val="22"/>
        </w:rPr>
        <w:t xml:space="preserve"> o a la </w:t>
      </w:r>
      <w:r w:rsidRPr="00135F95">
        <w:rPr>
          <w:b/>
          <w:sz w:val="22"/>
        </w:rPr>
        <w:t>CGUT</w:t>
      </w:r>
      <w:r w:rsidRPr="00135F95">
        <w:rPr>
          <w:sz w:val="22"/>
        </w:rPr>
        <w:t>, según corresponda. Cada instancia determinará el procedimiento a seguir.</w:t>
      </w:r>
    </w:p>
    <w:p w:rsidR="00E269D8" w:rsidRPr="00135F95" w:rsidRDefault="00AE7BB5" w:rsidP="00AE7BB5">
      <w:pPr>
        <w:pStyle w:val="INCISO"/>
        <w:numPr>
          <w:ilvl w:val="0"/>
          <w:numId w:val="15"/>
        </w:numPr>
        <w:spacing w:line="276" w:lineRule="auto"/>
        <w:rPr>
          <w:sz w:val="22"/>
        </w:rPr>
      </w:pPr>
      <w:r w:rsidRPr="00135F95">
        <w:rPr>
          <w:sz w:val="22"/>
        </w:rPr>
        <w:t xml:space="preserve">Llenar </w:t>
      </w:r>
      <w:r w:rsidR="00F672B3" w:rsidRPr="00135F95">
        <w:rPr>
          <w:sz w:val="22"/>
        </w:rPr>
        <w:t>el formato de Solicitud de T</w:t>
      </w:r>
      <w:r w:rsidR="00E269D8" w:rsidRPr="00135F95">
        <w:rPr>
          <w:sz w:val="22"/>
        </w:rPr>
        <w:t xml:space="preserve">ransferencia de recursos (Ver Anexo </w:t>
      </w:r>
      <w:r w:rsidR="00F672B3" w:rsidRPr="00135F95">
        <w:rPr>
          <w:sz w:val="22"/>
        </w:rPr>
        <w:t>4</w:t>
      </w:r>
      <w:r w:rsidR="004410E5" w:rsidRPr="00135F95">
        <w:rPr>
          <w:sz w:val="22"/>
        </w:rPr>
        <w:t>, Reglas de Operación 201</w:t>
      </w:r>
      <w:r w:rsidR="00F672B3" w:rsidRPr="00135F95">
        <w:rPr>
          <w:sz w:val="22"/>
        </w:rPr>
        <w:t>2</w:t>
      </w:r>
      <w:r w:rsidR="004410E5" w:rsidRPr="00135F95">
        <w:rPr>
          <w:sz w:val="22"/>
        </w:rPr>
        <w:t xml:space="preserve"> del </w:t>
      </w:r>
      <w:r w:rsidR="004410E5" w:rsidRPr="00135F95">
        <w:rPr>
          <w:b/>
          <w:sz w:val="22"/>
        </w:rPr>
        <w:t>PIFI</w:t>
      </w:r>
      <w:r w:rsidR="00E269D8" w:rsidRPr="00135F95">
        <w:rPr>
          <w:sz w:val="22"/>
        </w:rPr>
        <w:t xml:space="preserve">) proporcionado por la </w:t>
      </w:r>
      <w:r w:rsidR="00E269D8" w:rsidRPr="00135F95">
        <w:rPr>
          <w:b/>
          <w:sz w:val="22"/>
        </w:rPr>
        <w:t>DGESU</w:t>
      </w:r>
      <w:r w:rsidR="00E269D8" w:rsidRPr="00135F95">
        <w:rPr>
          <w:sz w:val="22"/>
        </w:rPr>
        <w:t xml:space="preserve"> o a la </w:t>
      </w:r>
      <w:r w:rsidR="00E269D8" w:rsidRPr="00135F95">
        <w:rPr>
          <w:b/>
          <w:sz w:val="22"/>
        </w:rPr>
        <w:t>CGUT</w:t>
      </w:r>
      <w:r w:rsidR="00E269D8" w:rsidRPr="00135F95">
        <w:rPr>
          <w:sz w:val="22"/>
        </w:rPr>
        <w:t>, según corresponda, indicando el tipo de transferencia.</w:t>
      </w:r>
    </w:p>
    <w:p w:rsidR="00E269D8" w:rsidRPr="00AE7BB5" w:rsidRDefault="00E269D8" w:rsidP="00AE7BB5">
      <w:pPr>
        <w:pStyle w:val="Texto"/>
        <w:spacing w:line="276" w:lineRule="auto"/>
        <w:ind w:left="2063" w:hanging="540"/>
        <w:rPr>
          <w:sz w:val="22"/>
          <w:szCs w:val="22"/>
        </w:rPr>
      </w:pPr>
      <w:r w:rsidRPr="00135F95">
        <w:rPr>
          <w:sz w:val="22"/>
        </w:rPr>
        <w:t>1.</w:t>
      </w:r>
      <w:r w:rsidRPr="00135F95">
        <w:tab/>
      </w:r>
      <w:r w:rsidRPr="00135F95">
        <w:rPr>
          <w:b/>
          <w:sz w:val="22"/>
          <w:szCs w:val="22"/>
        </w:rPr>
        <w:t>Productos financieros.</w:t>
      </w:r>
      <w:r w:rsidRPr="00135F95">
        <w:rPr>
          <w:sz w:val="22"/>
          <w:szCs w:val="22"/>
        </w:rPr>
        <w:t xml:space="preserve"> Se deberá señalar el monto y ejercicio del </w:t>
      </w:r>
      <w:r w:rsidR="00F672B3" w:rsidRPr="00135F95">
        <w:rPr>
          <w:sz w:val="22"/>
          <w:szCs w:val="22"/>
        </w:rPr>
        <w:t>Programa</w:t>
      </w:r>
      <w:r w:rsidR="00AE7BB5" w:rsidRPr="00135F95">
        <w:rPr>
          <w:sz w:val="22"/>
          <w:szCs w:val="22"/>
        </w:rPr>
        <w:t xml:space="preserve"> </w:t>
      </w:r>
      <w:r w:rsidR="00F672B3" w:rsidRPr="00135F95">
        <w:rPr>
          <w:sz w:val="22"/>
          <w:szCs w:val="22"/>
        </w:rPr>
        <w:t xml:space="preserve">de </w:t>
      </w:r>
      <w:r w:rsidRPr="00135F95">
        <w:rPr>
          <w:sz w:val="22"/>
          <w:szCs w:val="22"/>
        </w:rPr>
        <w:t xml:space="preserve">donde </w:t>
      </w:r>
      <w:r w:rsidR="00F672B3" w:rsidRPr="00135F95">
        <w:rPr>
          <w:sz w:val="22"/>
          <w:szCs w:val="22"/>
        </w:rPr>
        <w:t xml:space="preserve">proviene y en donde </w:t>
      </w:r>
      <w:r w:rsidRPr="00135F95">
        <w:rPr>
          <w:sz w:val="22"/>
          <w:szCs w:val="22"/>
        </w:rPr>
        <w:t>se</w:t>
      </w:r>
      <w:r w:rsidRPr="00AE7BB5">
        <w:rPr>
          <w:sz w:val="22"/>
          <w:szCs w:val="22"/>
        </w:rPr>
        <w:t xml:space="preserve"> aplicará(n)</w:t>
      </w:r>
      <w:r w:rsidR="00F672B3">
        <w:rPr>
          <w:sz w:val="22"/>
          <w:szCs w:val="22"/>
        </w:rPr>
        <w:t>,</w:t>
      </w:r>
      <w:r w:rsidRPr="00AE7BB5">
        <w:rPr>
          <w:sz w:val="22"/>
          <w:szCs w:val="22"/>
        </w:rPr>
        <w:t xml:space="preserve"> los recursos </w:t>
      </w:r>
      <w:r w:rsidRPr="00AE7BB5">
        <w:rPr>
          <w:sz w:val="22"/>
          <w:szCs w:val="22"/>
        </w:rPr>
        <w:lastRenderedPageBreak/>
        <w:t>e indicar la clave del(los) proyecto(s), objetivo(s) particular(es), meta(s) académica(s) y acción(es).</w:t>
      </w:r>
    </w:p>
    <w:p w:rsidR="00E269D8" w:rsidRPr="00AE7BB5" w:rsidRDefault="00E269D8" w:rsidP="00135F95">
      <w:pPr>
        <w:pStyle w:val="Texto"/>
        <w:shd w:val="clear" w:color="auto" w:fill="FFFFFF" w:themeFill="background1"/>
        <w:spacing w:line="276" w:lineRule="auto"/>
        <w:ind w:left="2063" w:hanging="540"/>
        <w:rPr>
          <w:sz w:val="22"/>
          <w:szCs w:val="22"/>
        </w:rPr>
      </w:pPr>
      <w:r w:rsidRPr="00AE7BB5">
        <w:rPr>
          <w:sz w:val="22"/>
          <w:szCs w:val="22"/>
        </w:rPr>
        <w:t>2.</w:t>
      </w:r>
      <w:r w:rsidRPr="00AE7BB5">
        <w:rPr>
          <w:sz w:val="22"/>
          <w:szCs w:val="22"/>
        </w:rPr>
        <w:tab/>
      </w:r>
      <w:r w:rsidRPr="00AE7BB5">
        <w:rPr>
          <w:b/>
          <w:sz w:val="22"/>
          <w:szCs w:val="22"/>
        </w:rPr>
        <w:t>Remanentes.</w:t>
      </w:r>
      <w:r w:rsidR="00FF1B64">
        <w:rPr>
          <w:sz w:val="22"/>
          <w:szCs w:val="22"/>
        </w:rPr>
        <w:t xml:space="preserve"> So</w:t>
      </w:r>
      <w:r w:rsidRPr="00AE7BB5">
        <w:rPr>
          <w:sz w:val="22"/>
          <w:szCs w:val="22"/>
        </w:rPr>
        <w:t>lo se autorizarán del proyecto de donde se genera el monto del mismo ejercicio fiscal (2011), para lo cual se deberá señalar la clave y nombre del proyecto, además de la clave y descripción del o los objetivo(s) particular(es), la</w:t>
      </w:r>
      <w:r w:rsidR="00F672B3">
        <w:rPr>
          <w:sz w:val="22"/>
          <w:szCs w:val="22"/>
        </w:rPr>
        <w:t>(</w:t>
      </w:r>
      <w:r w:rsidRPr="00AE7BB5">
        <w:rPr>
          <w:sz w:val="22"/>
          <w:szCs w:val="22"/>
        </w:rPr>
        <w:t>s</w:t>
      </w:r>
      <w:r w:rsidR="00F672B3">
        <w:rPr>
          <w:sz w:val="22"/>
          <w:szCs w:val="22"/>
        </w:rPr>
        <w:t>)</w:t>
      </w:r>
      <w:r w:rsidRPr="00AE7BB5">
        <w:rPr>
          <w:sz w:val="22"/>
          <w:szCs w:val="22"/>
        </w:rPr>
        <w:t xml:space="preserve"> meta(s), la(s) acción(es) y los conceptos de recursos que gener</w:t>
      </w:r>
      <w:r w:rsidR="00064A0F">
        <w:rPr>
          <w:sz w:val="22"/>
          <w:szCs w:val="22"/>
        </w:rPr>
        <w:t>an remanente, conforme al Anexo</w:t>
      </w:r>
      <w:r w:rsidRPr="00AE7BB5">
        <w:rPr>
          <w:sz w:val="22"/>
          <w:szCs w:val="22"/>
        </w:rPr>
        <w:t xml:space="preserve"> de Reprogramación autorizado y sin exceder el monto total autorizado, señalando igualmente a dónde se aplicarán. En caso de quedar algún remanente en alguna acción y después de cumplir con la meta programada, se podrán adquirir</w:t>
      </w:r>
      <w:r w:rsidR="00EC2B73">
        <w:rPr>
          <w:sz w:val="22"/>
          <w:szCs w:val="22"/>
        </w:rPr>
        <w:t xml:space="preserve">, </w:t>
      </w:r>
      <w:r w:rsidR="00EC2B73" w:rsidRPr="00135F95">
        <w:rPr>
          <w:sz w:val="22"/>
          <w:szCs w:val="22"/>
        </w:rPr>
        <w:t>siempre y cuando sea al interior de una misma acción, más unidades de los conceptos de gasto</w:t>
      </w:r>
      <w:r w:rsidR="00E9565C" w:rsidRPr="00135F95">
        <w:rPr>
          <w:sz w:val="22"/>
          <w:szCs w:val="22"/>
        </w:rPr>
        <w:t xml:space="preserve"> programados en el Anexo “A”</w:t>
      </w:r>
      <w:r w:rsidRPr="00135F95">
        <w:rPr>
          <w:sz w:val="22"/>
          <w:szCs w:val="22"/>
        </w:rPr>
        <w:t xml:space="preserve"> </w:t>
      </w:r>
      <w:r w:rsidR="00E9565C" w:rsidRPr="00135F95">
        <w:rPr>
          <w:sz w:val="22"/>
          <w:szCs w:val="22"/>
        </w:rPr>
        <w:t>de Reprogramación autorizado, sin que se requiera autorización por parte de la DGESU o CGUT, según corresponda.</w:t>
      </w:r>
    </w:p>
    <w:p w:rsidR="00E269D8" w:rsidRPr="00AE7BB5" w:rsidRDefault="00E269D8" w:rsidP="00AE7BB5">
      <w:pPr>
        <w:pStyle w:val="Texto"/>
        <w:spacing w:line="276" w:lineRule="auto"/>
        <w:ind w:left="2063" w:hanging="540"/>
        <w:rPr>
          <w:sz w:val="22"/>
          <w:szCs w:val="22"/>
        </w:rPr>
      </w:pPr>
      <w:r w:rsidRPr="00AE7BB5">
        <w:rPr>
          <w:sz w:val="22"/>
          <w:szCs w:val="22"/>
        </w:rPr>
        <w:t>3.</w:t>
      </w:r>
      <w:r w:rsidRPr="00AE7BB5">
        <w:rPr>
          <w:sz w:val="22"/>
          <w:szCs w:val="22"/>
        </w:rPr>
        <w:tab/>
      </w:r>
      <w:r w:rsidRPr="00AE7BB5">
        <w:rPr>
          <w:b/>
          <w:sz w:val="22"/>
          <w:szCs w:val="22"/>
        </w:rPr>
        <w:t xml:space="preserve">Reprogramaciones. </w:t>
      </w:r>
      <w:r w:rsidRPr="00AE7BB5">
        <w:rPr>
          <w:sz w:val="22"/>
          <w:szCs w:val="22"/>
        </w:rPr>
        <w:t>S</w:t>
      </w:r>
      <w:r w:rsidR="00FF1B64">
        <w:rPr>
          <w:sz w:val="22"/>
          <w:szCs w:val="22"/>
        </w:rPr>
        <w:t>o</w:t>
      </w:r>
      <w:r w:rsidRPr="00AE7BB5">
        <w:rPr>
          <w:sz w:val="22"/>
          <w:szCs w:val="22"/>
        </w:rPr>
        <w:t>lo se autorizarán de una misma acción, especificándose la clave y nombre del proyecto, la clave y descripción del(los) objetivo(s) particular(es), la(s) meta(s), la(s) acción(es), el(los) concepto(s) de gasto que se reprogramarán e indicar que adquirirán con esta modificación.</w:t>
      </w:r>
    </w:p>
    <w:p w:rsidR="00E269D8" w:rsidRPr="00135F95" w:rsidRDefault="00E269D8" w:rsidP="00AE7BB5">
      <w:pPr>
        <w:pStyle w:val="Texto"/>
        <w:spacing w:line="276" w:lineRule="auto"/>
        <w:ind w:left="2063" w:hanging="540"/>
        <w:rPr>
          <w:sz w:val="22"/>
          <w:szCs w:val="22"/>
        </w:rPr>
      </w:pPr>
      <w:r w:rsidRPr="00AE7BB5">
        <w:rPr>
          <w:sz w:val="22"/>
          <w:szCs w:val="22"/>
        </w:rPr>
        <w:t>4.</w:t>
      </w:r>
      <w:r w:rsidRPr="00AE7BB5">
        <w:rPr>
          <w:sz w:val="22"/>
          <w:szCs w:val="22"/>
        </w:rPr>
        <w:tab/>
        <w:t xml:space="preserve">Las </w:t>
      </w:r>
      <w:r w:rsidRPr="00135F95">
        <w:rPr>
          <w:sz w:val="22"/>
          <w:szCs w:val="22"/>
        </w:rPr>
        <w:t xml:space="preserve">transferencias que sean autorizadas, en cualquiera de sus opciones (productos financieros, remanentes y/o reprogramaciones) deberán ejercerse y comprobarse en </w:t>
      </w:r>
      <w:r w:rsidR="00166674" w:rsidRPr="00135F95">
        <w:rPr>
          <w:sz w:val="22"/>
          <w:szCs w:val="22"/>
        </w:rPr>
        <w:t>el</w:t>
      </w:r>
      <w:r w:rsidRPr="00135F95">
        <w:rPr>
          <w:sz w:val="22"/>
          <w:szCs w:val="22"/>
        </w:rPr>
        <w:t xml:space="preserve"> período </w:t>
      </w:r>
      <w:r w:rsidR="00166674" w:rsidRPr="00135F95">
        <w:rPr>
          <w:sz w:val="22"/>
          <w:szCs w:val="22"/>
        </w:rPr>
        <w:t xml:space="preserve">que se indique en el oficio de autorización, el cual no debe ser </w:t>
      </w:r>
      <w:r w:rsidRPr="00135F95">
        <w:rPr>
          <w:sz w:val="22"/>
          <w:szCs w:val="22"/>
        </w:rPr>
        <w:t xml:space="preserve">mayor a tres meses, contados a partir de la fecha de autorización emitida por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 xml:space="preserve">, según corresponda, con el propósito de finiquitar en su totalidad los recursos del ejercicio en cuestión. Al término de dicho periodo y en caso de presentarse algún remanente, no se podrá solicitar otra transferencia sobre el mismo </w:t>
      </w:r>
      <w:r w:rsidR="00166674" w:rsidRPr="00135F95">
        <w:rPr>
          <w:sz w:val="22"/>
          <w:szCs w:val="22"/>
        </w:rPr>
        <w:t xml:space="preserve">u otro </w:t>
      </w:r>
      <w:r w:rsidRPr="00135F95">
        <w:rPr>
          <w:sz w:val="22"/>
          <w:szCs w:val="22"/>
        </w:rPr>
        <w:t xml:space="preserve">concepto y el recurso deberá reintegrarse a la </w:t>
      </w:r>
      <w:r w:rsidR="00AE7BB5" w:rsidRPr="00135F95">
        <w:rPr>
          <w:sz w:val="22"/>
          <w:szCs w:val="22"/>
        </w:rPr>
        <w:t>Tesorería de la Federación (</w:t>
      </w:r>
      <w:r w:rsidRPr="00135F95">
        <w:rPr>
          <w:b/>
          <w:sz w:val="22"/>
          <w:szCs w:val="22"/>
        </w:rPr>
        <w:t>TESOFE</w:t>
      </w:r>
      <w:r w:rsidR="00AE7BB5" w:rsidRPr="00135F95">
        <w:rPr>
          <w:sz w:val="22"/>
          <w:szCs w:val="22"/>
        </w:rPr>
        <w:t>)</w:t>
      </w:r>
      <w:r w:rsidRPr="00135F95">
        <w:rPr>
          <w:sz w:val="22"/>
          <w:szCs w:val="22"/>
        </w:rPr>
        <w:t xml:space="preserve">, entregando la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el comprobante de dicho reintegro a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 xml:space="preserve"> según corresponda</w:t>
      </w:r>
      <w:r w:rsidR="00166674" w:rsidRPr="00135F95">
        <w:rPr>
          <w:sz w:val="22"/>
          <w:szCs w:val="22"/>
        </w:rPr>
        <w:t>, en un periodo no mayor a 20 días hábiles, posterior a la conclusión del ejercicio y comprobación del recurso autorizado por transferencia.</w:t>
      </w:r>
    </w:p>
    <w:p w:rsidR="00E269D8" w:rsidRPr="00135F95" w:rsidRDefault="00E269D8" w:rsidP="00AE7BB5">
      <w:pPr>
        <w:pStyle w:val="Texto"/>
        <w:spacing w:line="276" w:lineRule="auto"/>
        <w:ind w:left="2063" w:hanging="540"/>
        <w:rPr>
          <w:sz w:val="22"/>
          <w:szCs w:val="22"/>
        </w:rPr>
      </w:pPr>
      <w:r w:rsidRPr="00135F95">
        <w:rPr>
          <w:sz w:val="22"/>
          <w:szCs w:val="22"/>
        </w:rPr>
        <w:t>5.</w:t>
      </w:r>
      <w:r w:rsidRPr="00135F95">
        <w:rPr>
          <w:sz w:val="22"/>
          <w:szCs w:val="22"/>
        </w:rPr>
        <w:tab/>
        <w:t>S</w:t>
      </w:r>
      <w:r w:rsidR="00DB4FF0" w:rsidRPr="00135F95">
        <w:rPr>
          <w:sz w:val="22"/>
          <w:szCs w:val="22"/>
        </w:rPr>
        <w:t>o</w:t>
      </w:r>
      <w:r w:rsidRPr="00135F95">
        <w:rPr>
          <w:sz w:val="22"/>
          <w:szCs w:val="22"/>
        </w:rPr>
        <w:t>lo se autorizarán transferencias cuando los objetivos particulares, metas académicas y acciones a las que se aplicarán los recurso</w:t>
      </w:r>
      <w:r w:rsidRPr="00AE7BB5">
        <w:rPr>
          <w:sz w:val="22"/>
          <w:szCs w:val="22"/>
        </w:rPr>
        <w:t xml:space="preserve">s, </w:t>
      </w:r>
      <w:r w:rsidRPr="00AE7BB5">
        <w:rPr>
          <w:sz w:val="22"/>
          <w:szCs w:val="22"/>
        </w:rPr>
        <w:lastRenderedPageBreak/>
        <w:t xml:space="preserve">hayan sido evaluadas </w:t>
      </w:r>
      <w:r w:rsidRPr="00135F95">
        <w:rPr>
          <w:sz w:val="22"/>
          <w:szCs w:val="22"/>
        </w:rPr>
        <w:t xml:space="preserve">favorablemente y </w:t>
      </w:r>
      <w:r w:rsidR="009024F6" w:rsidRPr="00135F95">
        <w:rPr>
          <w:sz w:val="22"/>
          <w:szCs w:val="22"/>
        </w:rPr>
        <w:t>que el monto a aplicar no sea mayor al monto sugerido por el Comité de Evaluación, o en su caso, de ser necesario</w:t>
      </w:r>
      <w:r w:rsidR="00037C1F" w:rsidRPr="00135F95">
        <w:rPr>
          <w:sz w:val="22"/>
          <w:szCs w:val="22"/>
        </w:rPr>
        <w:t xml:space="preserve"> a lo solicitado originalmente en el proyecto</w:t>
      </w:r>
      <w:r w:rsidRPr="00135F95">
        <w:rPr>
          <w:sz w:val="22"/>
          <w:szCs w:val="22"/>
        </w:rPr>
        <w:t>.</w:t>
      </w:r>
    </w:p>
    <w:p w:rsidR="00E269D8" w:rsidRPr="00135F95" w:rsidRDefault="00E269D8" w:rsidP="00AE7BB5">
      <w:pPr>
        <w:pStyle w:val="Texto"/>
        <w:spacing w:after="80" w:line="276" w:lineRule="auto"/>
        <w:ind w:left="2063" w:hanging="540"/>
        <w:rPr>
          <w:sz w:val="22"/>
          <w:szCs w:val="22"/>
        </w:rPr>
      </w:pPr>
      <w:r w:rsidRPr="00135F95">
        <w:rPr>
          <w:sz w:val="22"/>
          <w:szCs w:val="22"/>
        </w:rPr>
        <w:t>6.</w:t>
      </w:r>
      <w:r w:rsidRPr="00135F95">
        <w:rPr>
          <w:sz w:val="22"/>
          <w:szCs w:val="22"/>
        </w:rPr>
        <w:tab/>
        <w:t>En ningún caso se autorizarán transferencias por cantidades mayores al monto s</w:t>
      </w:r>
      <w:r w:rsidR="00037C1F" w:rsidRPr="00135F95">
        <w:rPr>
          <w:sz w:val="22"/>
          <w:szCs w:val="22"/>
        </w:rPr>
        <w:t>olicitado a nivel de cada acción aprobada o</w:t>
      </w:r>
      <w:r w:rsidRPr="00135F95">
        <w:rPr>
          <w:sz w:val="22"/>
          <w:szCs w:val="22"/>
        </w:rPr>
        <w:t xml:space="preserve"> por conceptos de gasto que no hayan sido presentados en los proyectos originales.</w:t>
      </w:r>
    </w:p>
    <w:p w:rsidR="00E269D8" w:rsidRPr="00135F95" w:rsidRDefault="00E269D8" w:rsidP="00FA1C91">
      <w:pPr>
        <w:pStyle w:val="Texto"/>
        <w:spacing w:after="0" w:line="276" w:lineRule="auto"/>
        <w:ind w:left="2063" w:hanging="540"/>
        <w:rPr>
          <w:sz w:val="22"/>
          <w:szCs w:val="22"/>
        </w:rPr>
      </w:pPr>
      <w:r w:rsidRPr="00135F95">
        <w:rPr>
          <w:sz w:val="22"/>
          <w:szCs w:val="22"/>
        </w:rPr>
        <w:t>7.</w:t>
      </w:r>
      <w:r w:rsidRPr="00135F95">
        <w:rPr>
          <w:sz w:val="22"/>
          <w:szCs w:val="22"/>
        </w:rPr>
        <w:tab/>
        <w:t xml:space="preserve">Para sustentar las solicitudes referidas en el numeral 3 anterior del presente inciso, se podrán consultar los montos sugeridos por los Comités de Evaluación en la página </w:t>
      </w:r>
      <w:hyperlink r:id="rId14" w:history="1">
        <w:r w:rsidR="004410E5" w:rsidRPr="00135F95">
          <w:rPr>
            <w:rStyle w:val="Hipervnculo"/>
            <w:sz w:val="22"/>
            <w:szCs w:val="22"/>
          </w:rPr>
          <w:t>http://pifi.sep.gob.mx</w:t>
        </w:r>
      </w:hyperlink>
      <w:r w:rsidRPr="00135F95">
        <w:rPr>
          <w:sz w:val="22"/>
          <w:szCs w:val="22"/>
        </w:rPr>
        <w:t>.</w:t>
      </w:r>
    </w:p>
    <w:p w:rsidR="004410E5" w:rsidRPr="00135F95" w:rsidRDefault="004410E5" w:rsidP="00FA1C91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C1DFD">
      <w:pPr>
        <w:pStyle w:val="Texto"/>
        <w:numPr>
          <w:ilvl w:val="0"/>
          <w:numId w:val="19"/>
        </w:numPr>
        <w:spacing w:after="0" w:line="276" w:lineRule="auto"/>
        <w:ind w:left="709" w:hanging="283"/>
        <w:rPr>
          <w:sz w:val="22"/>
          <w:szCs w:val="22"/>
        </w:rPr>
      </w:pPr>
      <w:r w:rsidRPr="00135F95">
        <w:rPr>
          <w:sz w:val="22"/>
          <w:szCs w:val="22"/>
        </w:rPr>
        <w:t xml:space="preserve">Presentar el informe de seguimiento </w:t>
      </w:r>
      <w:r w:rsidR="00037C1F" w:rsidRPr="00135F95">
        <w:rPr>
          <w:sz w:val="22"/>
          <w:szCs w:val="22"/>
        </w:rPr>
        <w:t xml:space="preserve">financiero </w:t>
      </w:r>
      <w:r w:rsidRPr="00135F95">
        <w:rPr>
          <w:sz w:val="22"/>
          <w:szCs w:val="22"/>
        </w:rPr>
        <w:t>respectivo</w:t>
      </w:r>
      <w:r w:rsidR="00037C1F" w:rsidRPr="00135F95">
        <w:rPr>
          <w:sz w:val="22"/>
          <w:szCs w:val="22"/>
        </w:rPr>
        <w:t>,</w:t>
      </w:r>
      <w:r w:rsidRPr="00135F95">
        <w:rPr>
          <w:sz w:val="22"/>
          <w:szCs w:val="22"/>
        </w:rPr>
        <w:t xml:space="preserve"> </w:t>
      </w:r>
      <w:r w:rsidR="00037C1F" w:rsidRPr="00135F95">
        <w:rPr>
          <w:sz w:val="22"/>
          <w:szCs w:val="22"/>
        </w:rPr>
        <w:t xml:space="preserve">de acuerdo al </w:t>
      </w:r>
      <w:r w:rsidRPr="00135F95">
        <w:rPr>
          <w:sz w:val="22"/>
          <w:szCs w:val="22"/>
        </w:rPr>
        <w:t xml:space="preserve">formato establecido (Ver Anexo </w:t>
      </w:r>
      <w:r w:rsidR="00037C1F" w:rsidRPr="00135F95">
        <w:rPr>
          <w:sz w:val="22"/>
          <w:szCs w:val="22"/>
        </w:rPr>
        <w:t>2 y 3</w:t>
      </w:r>
      <w:r w:rsidR="004410E5" w:rsidRPr="00135F95">
        <w:rPr>
          <w:sz w:val="22"/>
          <w:szCs w:val="22"/>
        </w:rPr>
        <w:t xml:space="preserve"> de las Reglas de Operación 201</w:t>
      </w:r>
      <w:r w:rsidR="00037C1F" w:rsidRPr="00135F95">
        <w:rPr>
          <w:sz w:val="22"/>
          <w:szCs w:val="22"/>
        </w:rPr>
        <w:t>2</w:t>
      </w:r>
      <w:r w:rsidR="004410E5" w:rsidRPr="00135F95">
        <w:rPr>
          <w:sz w:val="22"/>
          <w:szCs w:val="22"/>
        </w:rPr>
        <w:t xml:space="preserve">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) por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>, según corresponda.</w:t>
      </w:r>
    </w:p>
    <w:p w:rsidR="004410E5" w:rsidRPr="00135F95" w:rsidRDefault="004410E5" w:rsidP="004410E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C1DFD">
      <w:pPr>
        <w:pStyle w:val="Texto"/>
        <w:numPr>
          <w:ilvl w:val="0"/>
          <w:numId w:val="19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>Demostrar, para el caso de las transferencias, haber cumplido con las metas académicas, así como los compromisos programáticos y financieros de los proyectos integrales y sus objetivos particulares asociados (Ver Anexo 2</w:t>
      </w:r>
      <w:r w:rsidR="004410E5" w:rsidRPr="00135F95">
        <w:rPr>
          <w:sz w:val="22"/>
          <w:szCs w:val="22"/>
        </w:rPr>
        <w:t xml:space="preserve"> de las Reglas de Operación 201</w:t>
      </w:r>
      <w:r w:rsidR="00C26E32" w:rsidRPr="00135F95">
        <w:rPr>
          <w:sz w:val="22"/>
          <w:szCs w:val="22"/>
        </w:rPr>
        <w:t>2</w:t>
      </w:r>
      <w:r w:rsidR="004410E5" w:rsidRPr="00135F95">
        <w:rPr>
          <w:sz w:val="22"/>
          <w:szCs w:val="22"/>
        </w:rPr>
        <w:t xml:space="preserve">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).</w:t>
      </w:r>
    </w:p>
    <w:p w:rsidR="004410E5" w:rsidRPr="00135F95" w:rsidRDefault="004410E5" w:rsidP="004410E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C1DFD">
      <w:pPr>
        <w:pStyle w:val="Texto"/>
        <w:numPr>
          <w:ilvl w:val="0"/>
          <w:numId w:val="19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 xml:space="preserve">Entregar a 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a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 xml:space="preserve">, según corresponda, los informes trimestrales de avance </w:t>
      </w:r>
      <w:r w:rsidR="007A566F" w:rsidRPr="00135F95">
        <w:rPr>
          <w:sz w:val="22"/>
          <w:szCs w:val="22"/>
        </w:rPr>
        <w:t xml:space="preserve">académico </w:t>
      </w:r>
      <w:r w:rsidRPr="00135F95">
        <w:rPr>
          <w:sz w:val="22"/>
          <w:szCs w:val="22"/>
        </w:rPr>
        <w:t xml:space="preserve">respecto de los proyectos integrales que asumen las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(Anexos 7, 8 y 9</w:t>
      </w:r>
      <w:r w:rsidR="004410E5" w:rsidRPr="00135F95">
        <w:rPr>
          <w:sz w:val="22"/>
          <w:szCs w:val="22"/>
        </w:rPr>
        <w:t xml:space="preserve"> de las Reglas de Operación 2011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), en el caso de las </w:t>
      </w:r>
      <w:r w:rsidRPr="00135F95">
        <w:rPr>
          <w:b/>
          <w:sz w:val="22"/>
          <w:szCs w:val="22"/>
        </w:rPr>
        <w:t>DES</w:t>
      </w:r>
      <w:r w:rsidRPr="00135F95">
        <w:rPr>
          <w:sz w:val="22"/>
          <w:szCs w:val="22"/>
        </w:rPr>
        <w:t xml:space="preserve"> registradas en el </w:t>
      </w:r>
      <w:r w:rsidRPr="00135F95">
        <w:rPr>
          <w:b/>
          <w:sz w:val="22"/>
          <w:szCs w:val="22"/>
        </w:rPr>
        <w:t>PROMEP</w:t>
      </w:r>
      <w:r w:rsidRPr="00135F95">
        <w:rPr>
          <w:sz w:val="22"/>
          <w:szCs w:val="22"/>
        </w:rPr>
        <w:t xml:space="preserve"> en el año 2011, en el marco del </w:t>
      </w:r>
      <w:r w:rsidR="007A566F" w:rsidRPr="00135F95">
        <w:rPr>
          <w:sz w:val="22"/>
          <w:szCs w:val="22"/>
        </w:rPr>
        <w:t>Programa</w:t>
      </w:r>
      <w:r w:rsidRPr="00135F95">
        <w:rPr>
          <w:sz w:val="22"/>
          <w:szCs w:val="22"/>
        </w:rPr>
        <w:t xml:space="preserve"> y sus elementos (</w:t>
      </w:r>
      <w:proofErr w:type="spellStart"/>
      <w:r w:rsidRPr="00135F95">
        <w:rPr>
          <w:sz w:val="22"/>
          <w:szCs w:val="22"/>
        </w:rPr>
        <w:t>ProGES</w:t>
      </w:r>
      <w:proofErr w:type="spellEnd"/>
      <w:r w:rsidRPr="00135F95">
        <w:rPr>
          <w:sz w:val="22"/>
          <w:szCs w:val="22"/>
        </w:rPr>
        <w:t xml:space="preserve">, </w:t>
      </w:r>
      <w:proofErr w:type="spellStart"/>
      <w:r w:rsidRPr="00135F95">
        <w:rPr>
          <w:sz w:val="22"/>
          <w:szCs w:val="22"/>
        </w:rPr>
        <w:t>ProDES</w:t>
      </w:r>
      <w:proofErr w:type="spellEnd"/>
      <w:r w:rsidRPr="00135F95">
        <w:rPr>
          <w:sz w:val="22"/>
          <w:szCs w:val="22"/>
        </w:rPr>
        <w:t xml:space="preserve"> o </w:t>
      </w:r>
      <w:proofErr w:type="spellStart"/>
      <w:r w:rsidRPr="00135F95">
        <w:rPr>
          <w:sz w:val="22"/>
          <w:szCs w:val="22"/>
        </w:rPr>
        <w:t>ProFOE</w:t>
      </w:r>
      <w:proofErr w:type="spellEnd"/>
      <w:r w:rsidRPr="00135F95">
        <w:rPr>
          <w:sz w:val="22"/>
          <w:szCs w:val="22"/>
        </w:rPr>
        <w:t>, entre otros), atendiendo a lo que al efecto señala el numeral 7.1 de las Reglas de Operación</w:t>
      </w:r>
      <w:r w:rsidR="004410E5" w:rsidRPr="00135F95">
        <w:rPr>
          <w:sz w:val="22"/>
          <w:szCs w:val="22"/>
        </w:rPr>
        <w:t xml:space="preserve"> 201</w:t>
      </w:r>
      <w:r w:rsidR="007A566F" w:rsidRPr="00135F95">
        <w:rPr>
          <w:sz w:val="22"/>
          <w:szCs w:val="22"/>
        </w:rPr>
        <w:t>2</w:t>
      </w:r>
      <w:r w:rsidR="004410E5" w:rsidRPr="00135F95">
        <w:rPr>
          <w:sz w:val="22"/>
          <w:szCs w:val="22"/>
        </w:rPr>
        <w:t xml:space="preserve">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, donde se incorpore:</w:t>
      </w:r>
    </w:p>
    <w:p w:rsidR="004410E5" w:rsidRPr="00135F95" w:rsidRDefault="004410E5" w:rsidP="00FA1C91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A1C91">
      <w:pPr>
        <w:pStyle w:val="INCISO"/>
        <w:spacing w:after="0" w:line="276" w:lineRule="auto"/>
        <w:rPr>
          <w:sz w:val="22"/>
          <w:szCs w:val="22"/>
        </w:rPr>
      </w:pPr>
      <w:r w:rsidRPr="00135F95">
        <w:rPr>
          <w:sz w:val="22"/>
          <w:szCs w:val="22"/>
        </w:rPr>
        <w:t>1.</w:t>
      </w:r>
      <w:r w:rsidRPr="00135F95">
        <w:rPr>
          <w:sz w:val="22"/>
          <w:szCs w:val="22"/>
        </w:rPr>
        <w:tab/>
        <w:t>El periodo respectivo;</w:t>
      </w:r>
    </w:p>
    <w:p w:rsidR="00E269D8" w:rsidRPr="00135F95" w:rsidRDefault="00E269D8" w:rsidP="004410E5">
      <w:pPr>
        <w:pStyle w:val="INCISO"/>
        <w:spacing w:after="80" w:line="276" w:lineRule="auto"/>
        <w:rPr>
          <w:sz w:val="22"/>
          <w:szCs w:val="22"/>
        </w:rPr>
      </w:pPr>
      <w:r w:rsidRPr="00135F95">
        <w:rPr>
          <w:sz w:val="22"/>
          <w:szCs w:val="22"/>
        </w:rPr>
        <w:t>2.</w:t>
      </w:r>
      <w:r w:rsidRPr="00135F95">
        <w:rPr>
          <w:sz w:val="22"/>
          <w:szCs w:val="22"/>
        </w:rPr>
        <w:tab/>
        <w:t>El avance en el cumplimiento del fin y propósito conforme a lo dispuesto en las Reglas de Operación</w:t>
      </w:r>
      <w:r w:rsidR="004410E5" w:rsidRPr="00135F95">
        <w:rPr>
          <w:sz w:val="22"/>
          <w:szCs w:val="22"/>
        </w:rPr>
        <w:t xml:space="preserve"> 201</w:t>
      </w:r>
      <w:r w:rsidR="001C2460" w:rsidRPr="00135F95">
        <w:rPr>
          <w:sz w:val="22"/>
          <w:szCs w:val="22"/>
        </w:rPr>
        <w:t>2</w:t>
      </w:r>
      <w:r w:rsidR="004410E5" w:rsidRPr="00135F95">
        <w:rPr>
          <w:sz w:val="22"/>
          <w:szCs w:val="22"/>
        </w:rPr>
        <w:t xml:space="preserve"> del </w:t>
      </w:r>
      <w:r w:rsidR="004410E5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; y</w:t>
      </w:r>
    </w:p>
    <w:p w:rsidR="004410E5" w:rsidRPr="00135F95" w:rsidRDefault="00E269D8" w:rsidP="004410E5">
      <w:pPr>
        <w:pStyle w:val="INCISO"/>
        <w:spacing w:after="80" w:line="276" w:lineRule="auto"/>
        <w:rPr>
          <w:sz w:val="22"/>
          <w:szCs w:val="22"/>
        </w:rPr>
      </w:pPr>
      <w:r w:rsidRPr="00135F95">
        <w:rPr>
          <w:sz w:val="22"/>
          <w:szCs w:val="22"/>
        </w:rPr>
        <w:t>3.</w:t>
      </w:r>
      <w:r w:rsidRPr="00135F95">
        <w:rPr>
          <w:sz w:val="22"/>
          <w:szCs w:val="22"/>
        </w:rPr>
        <w:tab/>
        <w:t>Los ingresos, rendimientos financieros, los egresos y su destino, y las disponibilidades o saldos.</w:t>
      </w:r>
    </w:p>
    <w:p w:rsidR="00E269D8" w:rsidRPr="00135F95" w:rsidRDefault="00E269D8" w:rsidP="00FA1C91">
      <w:pPr>
        <w:pStyle w:val="INCISO"/>
        <w:spacing w:after="0" w:line="276" w:lineRule="auto"/>
        <w:ind w:left="720" w:firstLine="0"/>
        <w:rPr>
          <w:sz w:val="22"/>
          <w:szCs w:val="22"/>
        </w:rPr>
      </w:pPr>
      <w:r w:rsidRPr="00135F95">
        <w:rPr>
          <w:sz w:val="22"/>
          <w:szCs w:val="22"/>
        </w:rPr>
        <w:t xml:space="preserve">El incumplimiento con respecto a la presentación de estos informes o el retraso en la entrega de los mismos, implicará la suspensión o la devolución parcial o total de los recursos asignados a la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>.</w:t>
      </w:r>
    </w:p>
    <w:p w:rsidR="004410E5" w:rsidRPr="00135F95" w:rsidRDefault="004410E5" w:rsidP="00FA1C91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1C2460" w:rsidP="00FC1DFD">
      <w:pPr>
        <w:pStyle w:val="Texto"/>
        <w:numPr>
          <w:ilvl w:val="0"/>
          <w:numId w:val="19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lastRenderedPageBreak/>
        <w:t>P</w:t>
      </w:r>
      <w:r w:rsidR="00E269D8" w:rsidRPr="00135F95">
        <w:rPr>
          <w:sz w:val="22"/>
          <w:szCs w:val="22"/>
        </w:rPr>
        <w:t>oner a disposición de la sociedad la información sobre la aplicación y uso de los recursos recibidos a través del PEF 201</w:t>
      </w:r>
      <w:r w:rsidRPr="00135F95">
        <w:rPr>
          <w:sz w:val="22"/>
          <w:szCs w:val="22"/>
        </w:rPr>
        <w:t>2</w:t>
      </w:r>
      <w:r w:rsidR="00E269D8" w:rsidRPr="00135F95">
        <w:rPr>
          <w:sz w:val="22"/>
          <w:szCs w:val="22"/>
        </w:rPr>
        <w:t xml:space="preserve">. En el marco de la Ley Federal de Transparencia y Acceso a la Información Pública Gubernamental y, en su caso, la Ley local respectiva, las </w:t>
      </w:r>
      <w:r w:rsidR="00E269D8" w:rsidRPr="00135F95">
        <w:rPr>
          <w:b/>
          <w:sz w:val="22"/>
          <w:szCs w:val="22"/>
        </w:rPr>
        <w:t>IES</w:t>
      </w:r>
      <w:r w:rsidR="00E269D8" w:rsidRPr="00135F95">
        <w:rPr>
          <w:sz w:val="22"/>
          <w:szCs w:val="22"/>
        </w:rPr>
        <w:t xml:space="preserve"> incorporarán en su página de Internet la información relacionada con los proyectos y los montos autorizados. En particular, el registro, la asignación, los avances técnicos y/o académicos y el seguimiento del ejercicio de recursos, manteniendo la información autorizada con periodicidad trimestral.</w:t>
      </w:r>
    </w:p>
    <w:p w:rsidR="004410E5" w:rsidRPr="00135F95" w:rsidRDefault="004410E5" w:rsidP="004410E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812769" w:rsidP="00FC1DFD">
      <w:pPr>
        <w:pStyle w:val="Texto"/>
        <w:numPr>
          <w:ilvl w:val="0"/>
          <w:numId w:val="19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>L</w:t>
      </w:r>
      <w:r w:rsidR="00E269D8" w:rsidRPr="00135F95">
        <w:rPr>
          <w:sz w:val="22"/>
          <w:szCs w:val="22"/>
        </w:rPr>
        <w:t xml:space="preserve">a </w:t>
      </w:r>
      <w:r w:rsidR="00E269D8" w:rsidRPr="00135F95">
        <w:rPr>
          <w:b/>
          <w:sz w:val="22"/>
          <w:szCs w:val="22"/>
        </w:rPr>
        <w:t>IES</w:t>
      </w:r>
      <w:r w:rsidR="00E269D8" w:rsidRPr="00135F95">
        <w:rPr>
          <w:sz w:val="22"/>
          <w:szCs w:val="22"/>
        </w:rPr>
        <w:t xml:space="preserve"> contará con un listado exhaustivo que contenga el personal comisionado a actividades sindicales. La </w:t>
      </w:r>
      <w:r w:rsidR="00E269D8" w:rsidRPr="00135F95">
        <w:rPr>
          <w:b/>
          <w:sz w:val="22"/>
          <w:szCs w:val="22"/>
        </w:rPr>
        <w:t>SEP</w:t>
      </w:r>
      <w:r w:rsidR="00E269D8" w:rsidRPr="00135F95">
        <w:rPr>
          <w:sz w:val="22"/>
          <w:szCs w:val="22"/>
        </w:rPr>
        <w:t xml:space="preserve"> enviará dichos listados a las comisiones de Vigilancia de la Auditoría Superior de la Federación (</w:t>
      </w:r>
      <w:r w:rsidR="00E269D8" w:rsidRPr="00135F95">
        <w:rPr>
          <w:b/>
          <w:sz w:val="22"/>
          <w:szCs w:val="22"/>
        </w:rPr>
        <w:t>ASF</w:t>
      </w:r>
      <w:r w:rsidR="00E269D8" w:rsidRPr="00135F95">
        <w:rPr>
          <w:sz w:val="22"/>
          <w:szCs w:val="22"/>
        </w:rPr>
        <w:t>) y de Educación Pública y Servicios Educativos de la Cámara de Diputados.</w:t>
      </w:r>
    </w:p>
    <w:p w:rsidR="004410E5" w:rsidRPr="00135F95" w:rsidRDefault="004410E5" w:rsidP="004410E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E269D8" w:rsidRPr="00135F95" w:rsidRDefault="00E269D8" w:rsidP="00FC1DFD">
      <w:pPr>
        <w:pStyle w:val="Texto"/>
        <w:numPr>
          <w:ilvl w:val="0"/>
          <w:numId w:val="19"/>
        </w:numPr>
        <w:spacing w:after="0" w:line="276" w:lineRule="auto"/>
        <w:ind w:left="735"/>
        <w:rPr>
          <w:sz w:val="22"/>
          <w:szCs w:val="22"/>
        </w:rPr>
      </w:pPr>
      <w:r w:rsidRPr="00135F95">
        <w:rPr>
          <w:sz w:val="22"/>
          <w:szCs w:val="22"/>
        </w:rPr>
        <w:t xml:space="preserve">En ningún caso podrán existir nóminas o partidas confidenciales. Los recursos públicos otorgados a las instituciones educativas que sean usados para el pago de nóminas deberán ejercerse en el marco de la transparencia y rendición de cuentas, por lo que los beneficiarios de dichos programas deberán reportar a la </w:t>
      </w:r>
      <w:r w:rsidRPr="00135F95">
        <w:rPr>
          <w:b/>
          <w:sz w:val="22"/>
          <w:szCs w:val="22"/>
        </w:rPr>
        <w:t>SEP</w:t>
      </w:r>
      <w:r w:rsidRPr="00135F95">
        <w:rPr>
          <w:sz w:val="22"/>
          <w:szCs w:val="22"/>
        </w:rPr>
        <w:t xml:space="preserve"> los montos pagados a cada trabajador</w:t>
      </w:r>
      <w:r w:rsidR="00812769" w:rsidRPr="00135F95">
        <w:rPr>
          <w:sz w:val="22"/>
          <w:szCs w:val="22"/>
        </w:rPr>
        <w:t>.</w:t>
      </w:r>
    </w:p>
    <w:p w:rsidR="00116200" w:rsidRPr="00135F95" w:rsidRDefault="00116200" w:rsidP="004410E5">
      <w:pPr>
        <w:pStyle w:val="Texto"/>
        <w:spacing w:after="0" w:line="276" w:lineRule="auto"/>
        <w:ind w:left="735" w:firstLine="0"/>
        <w:rPr>
          <w:sz w:val="22"/>
          <w:szCs w:val="22"/>
        </w:rPr>
      </w:pPr>
    </w:p>
    <w:p w:rsidR="00116200" w:rsidRPr="00135F95" w:rsidRDefault="00116200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t>Padrón de beneficiarios de la localidad.</w:t>
      </w:r>
    </w:p>
    <w:p w:rsidR="00116200" w:rsidRPr="00135F95" w:rsidRDefault="00116200" w:rsidP="00FA1C91">
      <w:pPr>
        <w:spacing w:after="0"/>
        <w:ind w:left="705"/>
        <w:jc w:val="both"/>
        <w:rPr>
          <w:rFonts w:ascii="Arial" w:hAnsi="Arial" w:cs="Arial"/>
        </w:rPr>
      </w:pPr>
    </w:p>
    <w:p w:rsidR="00116200" w:rsidRPr="00135F95" w:rsidRDefault="00266267" w:rsidP="00FA1C91">
      <w:pPr>
        <w:spacing w:after="0"/>
        <w:ind w:left="360"/>
        <w:jc w:val="both"/>
        <w:rPr>
          <w:rFonts w:ascii="Arial" w:hAnsi="Arial" w:cs="Arial"/>
        </w:rPr>
      </w:pPr>
      <w:r w:rsidRPr="00135F95">
        <w:rPr>
          <w:rFonts w:ascii="Arial" w:hAnsi="Arial" w:cs="Arial"/>
        </w:rPr>
        <w:t>La población objetivo e</w:t>
      </w:r>
      <w:r w:rsidR="00116200" w:rsidRPr="00135F95">
        <w:rPr>
          <w:rFonts w:ascii="Arial" w:hAnsi="Arial" w:cs="Arial"/>
        </w:rPr>
        <w:t>stá conformada por 1</w:t>
      </w:r>
      <w:r w:rsidR="00DD15B9" w:rsidRPr="00135F95">
        <w:rPr>
          <w:rFonts w:ascii="Arial" w:hAnsi="Arial" w:cs="Arial"/>
        </w:rPr>
        <w:t>8</w:t>
      </w:r>
      <w:r w:rsidR="001A1F9C" w:rsidRPr="00135F95">
        <w:rPr>
          <w:rFonts w:ascii="Arial" w:hAnsi="Arial" w:cs="Arial"/>
        </w:rPr>
        <w:t>6</w:t>
      </w:r>
      <w:r w:rsidR="00116200" w:rsidRPr="00135F95">
        <w:rPr>
          <w:rFonts w:ascii="Arial" w:hAnsi="Arial" w:cs="Arial"/>
        </w:rPr>
        <w:t xml:space="preserve"> Instituciones de Educación Superior Públicas que </w:t>
      </w:r>
      <w:r w:rsidR="00121B87" w:rsidRPr="00135F95">
        <w:rPr>
          <w:rFonts w:ascii="Arial" w:hAnsi="Arial" w:cs="Arial"/>
        </w:rPr>
        <w:t xml:space="preserve">participan en el </w:t>
      </w:r>
      <w:r w:rsidR="000E2852" w:rsidRPr="00135F95">
        <w:rPr>
          <w:rFonts w:ascii="Arial" w:hAnsi="Arial" w:cs="Arial"/>
        </w:rPr>
        <w:t>programa</w:t>
      </w:r>
      <w:r w:rsidR="00812769" w:rsidRPr="00135F95">
        <w:rPr>
          <w:rFonts w:ascii="Arial" w:hAnsi="Arial" w:cs="Arial"/>
        </w:rPr>
        <w:t xml:space="preserve">, mismas que </w:t>
      </w:r>
      <w:r w:rsidR="00116200" w:rsidRPr="00135F95">
        <w:rPr>
          <w:rFonts w:ascii="Arial" w:hAnsi="Arial" w:cs="Arial"/>
        </w:rPr>
        <w:t xml:space="preserve">se </w:t>
      </w:r>
      <w:r w:rsidRPr="00135F95">
        <w:rPr>
          <w:rFonts w:ascii="Arial" w:hAnsi="Arial" w:cs="Arial"/>
        </w:rPr>
        <w:t>relacionan</w:t>
      </w:r>
      <w:r w:rsidR="00116200" w:rsidRPr="00135F95">
        <w:rPr>
          <w:rFonts w:ascii="Arial" w:hAnsi="Arial" w:cs="Arial"/>
        </w:rPr>
        <w:t xml:space="preserve"> en el numeral 4.</w:t>
      </w:r>
      <w:r w:rsidR="00DD15B9" w:rsidRPr="00135F95">
        <w:rPr>
          <w:rFonts w:ascii="Arial" w:hAnsi="Arial" w:cs="Arial"/>
        </w:rPr>
        <w:t>2</w:t>
      </w:r>
      <w:r w:rsidR="00116200" w:rsidRPr="00135F95">
        <w:rPr>
          <w:rFonts w:ascii="Arial" w:hAnsi="Arial" w:cs="Arial"/>
        </w:rPr>
        <w:t xml:space="preserve"> de las Reglas de Operación 201</w:t>
      </w:r>
      <w:r w:rsidR="00812769" w:rsidRPr="00135F95">
        <w:rPr>
          <w:rFonts w:ascii="Arial" w:hAnsi="Arial" w:cs="Arial"/>
        </w:rPr>
        <w:t>2</w:t>
      </w:r>
      <w:r w:rsidRPr="00135F95">
        <w:rPr>
          <w:rFonts w:ascii="Arial" w:hAnsi="Arial" w:cs="Arial"/>
        </w:rPr>
        <w:t xml:space="preserve"> del </w:t>
      </w:r>
      <w:r w:rsidRPr="00135F95">
        <w:rPr>
          <w:rFonts w:ascii="Arial" w:hAnsi="Arial" w:cs="Arial"/>
          <w:b/>
        </w:rPr>
        <w:t>PIFI</w:t>
      </w:r>
      <w:r w:rsidR="00116200" w:rsidRPr="00135F95">
        <w:rPr>
          <w:rFonts w:ascii="Arial" w:hAnsi="Arial" w:cs="Arial"/>
        </w:rPr>
        <w:t>.</w:t>
      </w:r>
    </w:p>
    <w:p w:rsidR="00116200" w:rsidRPr="00135F95" w:rsidRDefault="00116200" w:rsidP="00FA1C91">
      <w:pPr>
        <w:spacing w:after="0"/>
        <w:ind w:left="705"/>
        <w:jc w:val="both"/>
        <w:rPr>
          <w:rFonts w:ascii="Arial" w:hAnsi="Arial" w:cs="Arial"/>
        </w:rPr>
      </w:pPr>
    </w:p>
    <w:p w:rsidR="00116200" w:rsidRPr="00135F95" w:rsidRDefault="00116200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t>Instancia(s) normativa(s) y ejecutora(s) del programa federal, así como sus respectivos canales de comunicación.</w:t>
      </w:r>
    </w:p>
    <w:p w:rsidR="00116200" w:rsidRPr="00135F95" w:rsidRDefault="00116200" w:rsidP="00FA1C91">
      <w:pPr>
        <w:pStyle w:val="Texto"/>
        <w:spacing w:after="0" w:line="276" w:lineRule="auto"/>
        <w:ind w:left="720" w:firstLine="0"/>
        <w:rPr>
          <w:b/>
          <w:sz w:val="22"/>
          <w:szCs w:val="22"/>
        </w:rPr>
      </w:pPr>
    </w:p>
    <w:p w:rsidR="00116200" w:rsidRPr="00135F95" w:rsidRDefault="00116200" w:rsidP="00FA1C91">
      <w:pPr>
        <w:pStyle w:val="Texto"/>
        <w:spacing w:after="0" w:line="276" w:lineRule="auto"/>
        <w:ind w:left="360" w:firstLine="0"/>
        <w:rPr>
          <w:b/>
          <w:sz w:val="22"/>
          <w:szCs w:val="22"/>
        </w:rPr>
      </w:pPr>
      <w:r w:rsidRPr="00135F95">
        <w:rPr>
          <w:b/>
          <w:sz w:val="22"/>
          <w:szCs w:val="22"/>
        </w:rPr>
        <w:t>Instancia(s) Normativa(s)</w:t>
      </w: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  <w:r w:rsidRPr="00135F95">
        <w:rPr>
          <w:sz w:val="22"/>
          <w:szCs w:val="22"/>
        </w:rPr>
        <w:t xml:space="preserve">La </w:t>
      </w:r>
      <w:r w:rsidRPr="00135F95">
        <w:rPr>
          <w:b/>
          <w:sz w:val="22"/>
          <w:szCs w:val="22"/>
        </w:rPr>
        <w:t>DGESU</w:t>
      </w:r>
      <w:r w:rsidRPr="00135F95">
        <w:rPr>
          <w:sz w:val="22"/>
          <w:szCs w:val="22"/>
        </w:rPr>
        <w:t xml:space="preserve"> o la </w:t>
      </w:r>
      <w:r w:rsidRPr="00135F95">
        <w:rPr>
          <w:b/>
          <w:sz w:val="22"/>
          <w:szCs w:val="22"/>
        </w:rPr>
        <w:t>CGUT</w:t>
      </w:r>
      <w:r w:rsidRPr="00135F95">
        <w:rPr>
          <w:sz w:val="22"/>
          <w:szCs w:val="22"/>
        </w:rPr>
        <w:t xml:space="preserve">, según corresponda, fungirán como las instancias normativas del </w:t>
      </w:r>
      <w:r w:rsidR="001A1F9C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.</w:t>
      </w: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b/>
          <w:sz w:val="22"/>
          <w:szCs w:val="22"/>
        </w:rPr>
      </w:pPr>
      <w:r w:rsidRPr="00135F95">
        <w:rPr>
          <w:b/>
          <w:sz w:val="22"/>
          <w:szCs w:val="22"/>
        </w:rPr>
        <w:t>Instancia(s) Ejecutora(s)</w:t>
      </w: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  <w:r w:rsidRPr="00135F95">
        <w:rPr>
          <w:sz w:val="22"/>
          <w:szCs w:val="22"/>
        </w:rPr>
        <w:t xml:space="preserve">Las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participantes fungirán como las instancias ejecutoras del </w:t>
      </w:r>
      <w:r w:rsidR="001A1F9C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 en el ámbito de sus respectivas competencias, quienes serán responsables de presentar los informes de avance que del mismo correspondan en el marco</w:t>
      </w:r>
      <w:r w:rsidR="00812769" w:rsidRPr="00135F95">
        <w:rPr>
          <w:sz w:val="22"/>
          <w:szCs w:val="22"/>
        </w:rPr>
        <w:t xml:space="preserve"> de las Reglas de Operación 2012</w:t>
      </w:r>
      <w:r w:rsidR="001A1F9C" w:rsidRPr="00135F95">
        <w:rPr>
          <w:sz w:val="22"/>
          <w:szCs w:val="22"/>
        </w:rPr>
        <w:t xml:space="preserve"> del </w:t>
      </w:r>
      <w:r w:rsidR="001A1F9C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.</w:t>
      </w:r>
    </w:p>
    <w:p w:rsidR="00116200" w:rsidRPr="00135F95" w:rsidRDefault="00116200" w:rsidP="00FA1C91">
      <w:pPr>
        <w:pStyle w:val="Prrafodelista"/>
        <w:spacing w:after="0"/>
        <w:ind w:left="357"/>
        <w:jc w:val="both"/>
        <w:rPr>
          <w:rFonts w:ascii="Arial" w:hAnsi="Arial" w:cs="Arial"/>
        </w:rPr>
      </w:pPr>
    </w:p>
    <w:p w:rsidR="00116200" w:rsidRDefault="00116200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lastRenderedPageBreak/>
        <w:t>Procedimientos para realizar las actividades de contraloría social.</w:t>
      </w:r>
    </w:p>
    <w:p w:rsidR="000010BA" w:rsidRPr="000010BA" w:rsidRDefault="000010BA" w:rsidP="000010BA">
      <w:pPr>
        <w:spacing w:after="0"/>
        <w:ind w:firstLine="360"/>
        <w:jc w:val="both"/>
        <w:rPr>
          <w:rFonts w:ascii="Arial" w:hAnsi="Arial" w:cs="Arial"/>
        </w:rPr>
      </w:pPr>
      <w:r w:rsidRPr="000010BA">
        <w:rPr>
          <w:rFonts w:ascii="Arial" w:hAnsi="Arial" w:cs="Arial"/>
        </w:rPr>
        <w:t>Ver la Guía Operativa 2012 del Programa.</w:t>
      </w:r>
    </w:p>
    <w:p w:rsidR="000010BA" w:rsidRDefault="000010BA" w:rsidP="000010BA">
      <w:pPr>
        <w:pStyle w:val="Prrafodelista"/>
        <w:spacing w:after="0"/>
        <w:ind w:left="360"/>
        <w:jc w:val="both"/>
        <w:rPr>
          <w:rFonts w:ascii="Arial" w:hAnsi="Arial" w:cs="Arial"/>
          <w:b/>
        </w:rPr>
      </w:pPr>
    </w:p>
    <w:p w:rsidR="000010BA" w:rsidRPr="005C6F46" w:rsidRDefault="000010BA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5C6F46">
        <w:rPr>
          <w:rFonts w:ascii="Arial" w:hAnsi="Arial" w:cs="Arial"/>
          <w:b/>
        </w:rPr>
        <w:t>Medios Institucionales para presentar quejas y denuncias</w:t>
      </w:r>
    </w:p>
    <w:p w:rsidR="000010BA" w:rsidRPr="00FC5647" w:rsidRDefault="00FC5647" w:rsidP="000010BA">
      <w:pPr>
        <w:pStyle w:val="Prrafodelista"/>
        <w:spacing w:after="0"/>
        <w:ind w:left="360"/>
        <w:jc w:val="both"/>
        <w:rPr>
          <w:rFonts w:ascii="Arial" w:hAnsi="Arial" w:cs="Arial"/>
        </w:rPr>
      </w:pPr>
      <w:r w:rsidRPr="005C6F46">
        <w:rPr>
          <w:rFonts w:ascii="Arial" w:hAnsi="Arial" w:cs="Arial"/>
        </w:rPr>
        <w:t>L</w:t>
      </w:r>
      <w:r w:rsidR="000010BA" w:rsidRPr="005C6F46">
        <w:rPr>
          <w:rFonts w:ascii="Arial" w:hAnsi="Arial" w:cs="Arial"/>
        </w:rPr>
        <w:t xml:space="preserve">os beneficiarios podrán utilizar </w:t>
      </w:r>
      <w:r w:rsidR="00910553" w:rsidRPr="005C6F46">
        <w:rPr>
          <w:rFonts w:ascii="Arial" w:hAnsi="Arial" w:cs="Arial"/>
        </w:rPr>
        <w:t>el</w:t>
      </w:r>
      <w:r w:rsidR="001A13CC" w:rsidRPr="005C6F46">
        <w:rPr>
          <w:rFonts w:ascii="Arial" w:hAnsi="Arial" w:cs="Arial"/>
        </w:rPr>
        <w:t xml:space="preserve"> siguiente</w:t>
      </w:r>
      <w:r w:rsidR="00910553" w:rsidRPr="005C6F46">
        <w:rPr>
          <w:rFonts w:ascii="Arial" w:hAnsi="Arial" w:cs="Arial"/>
        </w:rPr>
        <w:t xml:space="preserve"> correo electrónico </w:t>
      </w:r>
      <w:hyperlink r:id="rId15" w:history="1">
        <w:r w:rsidR="001A13CC" w:rsidRPr="005C6F46">
          <w:rPr>
            <w:rStyle w:val="Hipervnculo"/>
            <w:rFonts w:ascii="Arial" w:hAnsi="Arial" w:cs="Arial"/>
            <w:b/>
          </w:rPr>
          <w:t>quejasydenucnias@cgut.sep.gob.mx</w:t>
        </w:r>
      </w:hyperlink>
      <w:r w:rsidR="001A13CC" w:rsidRPr="005C6F46">
        <w:rPr>
          <w:rFonts w:ascii="Arial" w:hAnsi="Arial" w:cs="Arial"/>
          <w:b/>
        </w:rPr>
        <w:t xml:space="preserve">, </w:t>
      </w:r>
      <w:r w:rsidR="00910553" w:rsidRPr="005C6F46">
        <w:rPr>
          <w:rFonts w:ascii="Arial" w:hAnsi="Arial" w:cs="Arial"/>
        </w:rPr>
        <w:t xml:space="preserve">como </w:t>
      </w:r>
      <w:r w:rsidR="000010BA" w:rsidRPr="005C6F46">
        <w:rPr>
          <w:rFonts w:ascii="Arial" w:hAnsi="Arial" w:cs="Arial"/>
        </w:rPr>
        <w:t>medio institucion</w:t>
      </w:r>
      <w:r w:rsidR="00910553" w:rsidRPr="005C6F46">
        <w:rPr>
          <w:rFonts w:ascii="Arial" w:hAnsi="Arial" w:cs="Arial"/>
        </w:rPr>
        <w:t>al</w:t>
      </w:r>
      <w:r w:rsidR="000010BA" w:rsidRPr="005C6F46">
        <w:rPr>
          <w:rFonts w:ascii="Arial" w:hAnsi="Arial" w:cs="Arial"/>
        </w:rPr>
        <w:t xml:space="preserve"> </w:t>
      </w:r>
      <w:r w:rsidRPr="005C6F46">
        <w:rPr>
          <w:rFonts w:ascii="Arial" w:hAnsi="Arial" w:cs="Arial"/>
        </w:rPr>
        <w:t xml:space="preserve">para presentar </w:t>
      </w:r>
      <w:r w:rsidR="00910553" w:rsidRPr="005C6F46">
        <w:rPr>
          <w:rFonts w:ascii="Arial" w:hAnsi="Arial" w:cs="Arial"/>
        </w:rPr>
        <w:t xml:space="preserve">sus </w:t>
      </w:r>
      <w:r w:rsidR="000010BA" w:rsidRPr="005C6F46">
        <w:rPr>
          <w:rFonts w:ascii="Arial" w:hAnsi="Arial" w:cs="Arial"/>
        </w:rPr>
        <w:t>quejas y denuncias</w:t>
      </w:r>
      <w:r w:rsidR="001A13CC" w:rsidRPr="005C6F46">
        <w:rPr>
          <w:rFonts w:ascii="Arial" w:hAnsi="Arial" w:cs="Arial"/>
        </w:rPr>
        <w:t>.</w:t>
      </w:r>
      <w:bookmarkStart w:id="0" w:name="_GoBack"/>
      <w:bookmarkEnd w:id="0"/>
    </w:p>
    <w:p w:rsidR="00116200" w:rsidRPr="00135F95" w:rsidRDefault="00116200" w:rsidP="00FA1C91">
      <w:pPr>
        <w:spacing w:after="0"/>
        <w:jc w:val="both"/>
        <w:rPr>
          <w:rFonts w:ascii="Arial" w:hAnsi="Arial" w:cs="Arial"/>
        </w:rPr>
      </w:pPr>
    </w:p>
    <w:p w:rsidR="00116200" w:rsidRPr="00135F95" w:rsidRDefault="00116200" w:rsidP="00FA1C91">
      <w:pPr>
        <w:pStyle w:val="Prrafodelista"/>
        <w:numPr>
          <w:ilvl w:val="0"/>
          <w:numId w:val="4"/>
        </w:numPr>
        <w:spacing w:after="0"/>
        <w:jc w:val="both"/>
        <w:rPr>
          <w:rFonts w:ascii="Arial" w:hAnsi="Arial" w:cs="Arial"/>
          <w:b/>
        </w:rPr>
      </w:pPr>
      <w:r w:rsidRPr="00135F95">
        <w:rPr>
          <w:rFonts w:ascii="Arial" w:hAnsi="Arial" w:cs="Arial"/>
          <w:b/>
        </w:rPr>
        <w:t>Medidas para garantizar la igualdad entre mujeres y hombres en la aplicación del programa federal.</w:t>
      </w:r>
    </w:p>
    <w:p w:rsidR="00116200" w:rsidRPr="00135F95" w:rsidRDefault="00116200" w:rsidP="00CF30C9">
      <w:pPr>
        <w:pStyle w:val="Texto"/>
        <w:spacing w:after="0" w:line="276" w:lineRule="auto"/>
        <w:ind w:left="360" w:firstLine="0"/>
        <w:rPr>
          <w:sz w:val="22"/>
          <w:szCs w:val="22"/>
        </w:rPr>
      </w:pP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  <w:r w:rsidRPr="00135F95">
        <w:rPr>
          <w:sz w:val="22"/>
          <w:szCs w:val="22"/>
        </w:rPr>
        <w:t xml:space="preserve">La participación en el </w:t>
      </w:r>
      <w:r w:rsidR="00266267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 xml:space="preserve"> es a través de una convocatoria abierta, dirigida a las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</w:t>
      </w:r>
      <w:r w:rsidR="00266267" w:rsidRPr="00135F95">
        <w:rPr>
          <w:sz w:val="22"/>
          <w:szCs w:val="22"/>
        </w:rPr>
        <w:t>registradas</w:t>
      </w:r>
      <w:r w:rsidRPr="00135F95">
        <w:rPr>
          <w:sz w:val="22"/>
          <w:szCs w:val="22"/>
        </w:rPr>
        <w:t xml:space="preserve"> en las Reglas de Operación 201</w:t>
      </w:r>
      <w:r w:rsidR="007F1FE9" w:rsidRPr="00135F95">
        <w:rPr>
          <w:sz w:val="22"/>
          <w:szCs w:val="22"/>
        </w:rPr>
        <w:t>2</w:t>
      </w:r>
      <w:r w:rsidR="00266267" w:rsidRPr="00135F95">
        <w:rPr>
          <w:sz w:val="22"/>
          <w:szCs w:val="22"/>
        </w:rPr>
        <w:t xml:space="preserve"> del </w:t>
      </w:r>
      <w:r w:rsidR="00266267" w:rsidRPr="00135F95">
        <w:rPr>
          <w:b/>
          <w:sz w:val="22"/>
          <w:szCs w:val="22"/>
        </w:rPr>
        <w:t>PIFI</w:t>
      </w:r>
      <w:r w:rsidRPr="00135F95">
        <w:rPr>
          <w:sz w:val="22"/>
          <w:szCs w:val="22"/>
        </w:rPr>
        <w:t>.</w:t>
      </w:r>
    </w:p>
    <w:p w:rsidR="00116200" w:rsidRPr="00135F95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</w:p>
    <w:p w:rsidR="00116200" w:rsidRPr="003166EE" w:rsidRDefault="00116200" w:rsidP="00FA1C91">
      <w:pPr>
        <w:pStyle w:val="Texto"/>
        <w:spacing w:after="0" w:line="276" w:lineRule="auto"/>
        <w:ind w:left="357" w:firstLine="0"/>
        <w:rPr>
          <w:sz w:val="22"/>
          <w:szCs w:val="22"/>
        </w:rPr>
      </w:pPr>
      <w:r w:rsidRPr="00135F95">
        <w:rPr>
          <w:sz w:val="22"/>
          <w:szCs w:val="22"/>
        </w:rPr>
        <w:t>Para el ejercicio fiscal 201</w:t>
      </w:r>
      <w:r w:rsidR="007F1FE9" w:rsidRPr="00135F95">
        <w:rPr>
          <w:sz w:val="22"/>
          <w:szCs w:val="22"/>
        </w:rPr>
        <w:t>2</w:t>
      </w:r>
      <w:r w:rsidRPr="00135F95">
        <w:rPr>
          <w:sz w:val="22"/>
          <w:szCs w:val="22"/>
        </w:rPr>
        <w:t xml:space="preserve"> </w:t>
      </w:r>
      <w:r w:rsidR="00242EA3" w:rsidRPr="00135F95">
        <w:rPr>
          <w:sz w:val="22"/>
          <w:szCs w:val="22"/>
        </w:rPr>
        <w:t>los montos se asignarán de acuerdo con el Presupuesto de Egresos de la Federación (PEF)</w:t>
      </w:r>
      <w:r w:rsidRPr="00135F95">
        <w:rPr>
          <w:sz w:val="22"/>
          <w:szCs w:val="22"/>
        </w:rPr>
        <w:t xml:space="preserve"> para que las </w:t>
      </w:r>
      <w:r w:rsidRPr="00135F95">
        <w:rPr>
          <w:b/>
          <w:sz w:val="22"/>
          <w:szCs w:val="22"/>
        </w:rPr>
        <w:t>IES</w:t>
      </w:r>
      <w:r w:rsidRPr="00135F95">
        <w:rPr>
          <w:sz w:val="22"/>
          <w:szCs w:val="22"/>
        </w:rPr>
        <w:t xml:space="preserve"> presenten proyectos transversales en materia de perspectiva de género, con el propósito de que fomenten y garanticen la igualdad entre hombres y mujeres.</w:t>
      </w:r>
    </w:p>
    <w:p w:rsidR="00E239F3" w:rsidRDefault="00E239F3" w:rsidP="00CF30C9">
      <w:pPr>
        <w:pStyle w:val="Texto"/>
        <w:spacing w:after="0" w:line="276" w:lineRule="auto"/>
        <w:ind w:left="360" w:firstLine="0"/>
        <w:rPr>
          <w:sz w:val="22"/>
          <w:szCs w:val="22"/>
        </w:rPr>
      </w:pPr>
    </w:p>
    <w:sectPr w:rsidR="00E239F3" w:rsidSect="005849F7">
      <w:headerReference w:type="default" r:id="rId16"/>
      <w:footerReference w:type="default" r:id="rId17"/>
      <w:pgSz w:w="12240" w:h="15840"/>
      <w:pgMar w:top="851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280D" w:rsidRDefault="00FE280D" w:rsidP="006800D2">
      <w:pPr>
        <w:spacing w:after="0" w:line="240" w:lineRule="auto"/>
      </w:pPr>
      <w:r>
        <w:separator/>
      </w:r>
    </w:p>
  </w:endnote>
  <w:endnote w:type="continuationSeparator" w:id="0">
    <w:p w:rsidR="00FE280D" w:rsidRDefault="00FE280D" w:rsidP="00680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796427"/>
      <w:docPartObj>
        <w:docPartGallery w:val="Page Numbers (Bottom of Page)"/>
        <w:docPartUnique/>
      </w:docPartObj>
    </w:sdtPr>
    <w:sdtEndPr/>
    <w:sdtContent>
      <w:p w:rsidR="007327E1" w:rsidRDefault="007327E1">
        <w:pPr>
          <w:pStyle w:val="Piedepgina"/>
          <w:pBdr>
            <w:bottom w:val="single" w:sz="12" w:space="1" w:color="auto"/>
          </w:pBdr>
          <w:jc w:val="center"/>
        </w:pPr>
      </w:p>
      <w:p w:rsidR="007327E1" w:rsidRDefault="007327E1">
        <w:pPr>
          <w:pStyle w:val="Piedepgina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3FCDE001" wp14:editId="581751F7">
              <wp:simplePos x="0" y="0"/>
              <wp:positionH relativeFrom="column">
                <wp:posOffset>2612390</wp:posOffset>
              </wp:positionH>
              <wp:positionV relativeFrom="paragraph">
                <wp:posOffset>6985</wp:posOffset>
              </wp:positionV>
              <wp:extent cx="505460" cy="436880"/>
              <wp:effectExtent l="19050" t="0" r="8890" b="0"/>
              <wp:wrapThrough wrapText="bothSides">
                <wp:wrapPolygon edited="0">
                  <wp:start x="-814" y="0"/>
                  <wp:lineTo x="-814" y="20721"/>
                  <wp:lineTo x="21980" y="20721"/>
                  <wp:lineTo x="21980" y="0"/>
                  <wp:lineTo x="-814" y="0"/>
                </wp:wrapPolygon>
              </wp:wrapThrough>
              <wp:docPr id="5" name="Imagen 2" descr="http://t0.gstatic.com/images?q=tbn:qVMQpb-Ikn6VAM:">
                <a:hlinkClick xmlns:a="http://schemas.openxmlformats.org/drawingml/2006/main" r:id="rId1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t0.gstatic.com/images?q=tbn:qVMQpb-Ikn6VAM:">
                        <a:hlinkClick r:id="rId1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05460" cy="4368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p>
      <w:p w:rsidR="007327E1" w:rsidRDefault="007327E1" w:rsidP="00095892">
        <w:pPr>
          <w:pStyle w:val="Piedep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6F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280D" w:rsidRDefault="00FE280D" w:rsidP="006800D2">
      <w:pPr>
        <w:spacing w:after="0" w:line="240" w:lineRule="auto"/>
      </w:pPr>
      <w:r>
        <w:separator/>
      </w:r>
    </w:p>
  </w:footnote>
  <w:footnote w:type="continuationSeparator" w:id="0">
    <w:p w:rsidR="00FE280D" w:rsidRDefault="00FE280D" w:rsidP="006800D2">
      <w:pPr>
        <w:spacing w:after="0" w:line="240" w:lineRule="auto"/>
      </w:pPr>
      <w:r>
        <w:continuationSeparator/>
      </w:r>
    </w:p>
  </w:footnote>
  <w:footnote w:id="1">
    <w:p w:rsidR="007327E1" w:rsidRPr="00135F95" w:rsidRDefault="007327E1" w:rsidP="005B2E60">
      <w:pPr>
        <w:pStyle w:val="Textonotapie"/>
      </w:pPr>
      <w:r w:rsidRPr="00135F95">
        <w:rPr>
          <w:rStyle w:val="Refdenotaalpie"/>
        </w:rPr>
        <w:footnoteRef/>
      </w:r>
      <w:r w:rsidRPr="00135F95">
        <w:t xml:space="preserve"> Presupuesto de Egresos de la Federación para el ejercicio fiscal 2012.</w:t>
      </w:r>
    </w:p>
  </w:footnote>
  <w:footnote w:id="2">
    <w:p w:rsidR="007327E1" w:rsidRDefault="007327E1" w:rsidP="00116200">
      <w:pPr>
        <w:pStyle w:val="Textonotapie"/>
      </w:pPr>
      <w:r w:rsidRPr="00135F95">
        <w:rPr>
          <w:rStyle w:val="Refdenotaalpie"/>
        </w:rPr>
        <w:footnoteRef/>
      </w:r>
      <w:r w:rsidRPr="00135F95">
        <w:t xml:space="preserve"> Dirección General de Educación Superior Universitaria.</w:t>
      </w:r>
    </w:p>
  </w:footnote>
  <w:footnote w:id="3">
    <w:p w:rsidR="007327E1" w:rsidRDefault="007327E1" w:rsidP="00116200">
      <w:pPr>
        <w:pStyle w:val="Textonotapie"/>
      </w:pPr>
      <w:r>
        <w:rPr>
          <w:rStyle w:val="Refdenotaalpie"/>
        </w:rPr>
        <w:footnoteRef/>
      </w:r>
      <w:r>
        <w:t xml:space="preserve"> Coordinación General de Universidades Tecnológicas.</w:t>
      </w:r>
    </w:p>
  </w:footnote>
  <w:footnote w:id="4">
    <w:p w:rsidR="0033360D" w:rsidRPr="0033360D" w:rsidRDefault="0033360D">
      <w:pPr>
        <w:pStyle w:val="Textonotapie"/>
      </w:pPr>
      <w:r>
        <w:rPr>
          <w:rStyle w:val="Refdenotaalpie"/>
        </w:rPr>
        <w:footnoteRef/>
      </w:r>
      <w:r>
        <w:t xml:space="preserve"> Programa de Mejoramiento del Profesorado.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7E1" w:rsidRDefault="007327E1">
    <w:pPr>
      <w:pStyle w:val="Encabezado"/>
    </w:pPr>
    <w:r w:rsidRPr="005849F7">
      <w:rPr>
        <w:noProof/>
      </w:rPr>
      <w:drawing>
        <wp:inline distT="0" distB="0" distL="0" distR="0" wp14:anchorId="32385F6F" wp14:editId="37B1EC95">
          <wp:extent cx="5610860" cy="1240790"/>
          <wp:effectExtent l="19050" t="0" r="8890" b="0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0860" cy="12407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327E1" w:rsidRDefault="007327E1">
    <w:pPr>
      <w:pStyle w:val="Encabezado"/>
    </w:pPr>
  </w:p>
  <w:p w:rsidR="007327E1" w:rsidRDefault="007327E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90CC8"/>
    <w:multiLevelType w:val="hybridMultilevel"/>
    <w:tmpl w:val="D952A714"/>
    <w:lvl w:ilvl="0" w:tplc="436CEA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367B57"/>
    <w:multiLevelType w:val="hybridMultilevel"/>
    <w:tmpl w:val="FD50B1B8"/>
    <w:lvl w:ilvl="0" w:tplc="0C0A000F">
      <w:start w:val="1"/>
      <w:numFmt w:val="decimal"/>
      <w:lvlText w:val="%1.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1853BB6"/>
    <w:multiLevelType w:val="hybridMultilevel"/>
    <w:tmpl w:val="E1AE94B6"/>
    <w:lvl w:ilvl="0" w:tplc="0C0A0017">
      <w:start w:val="1"/>
      <w:numFmt w:val="lowerLetter"/>
      <w:lvlText w:val="%1)"/>
      <w:lvlJc w:val="left"/>
      <w:pPr>
        <w:ind w:left="1883" w:hanging="360"/>
      </w:pPr>
    </w:lvl>
    <w:lvl w:ilvl="1" w:tplc="0C0A0019">
      <w:start w:val="1"/>
      <w:numFmt w:val="lowerLetter"/>
      <w:lvlText w:val="%2."/>
      <w:lvlJc w:val="left"/>
      <w:pPr>
        <w:ind w:left="2603" w:hanging="360"/>
      </w:pPr>
    </w:lvl>
    <w:lvl w:ilvl="2" w:tplc="0C0A001B" w:tentative="1">
      <w:start w:val="1"/>
      <w:numFmt w:val="lowerRoman"/>
      <w:lvlText w:val="%3."/>
      <w:lvlJc w:val="right"/>
      <w:pPr>
        <w:ind w:left="3323" w:hanging="180"/>
      </w:pPr>
    </w:lvl>
    <w:lvl w:ilvl="3" w:tplc="0C0A000F" w:tentative="1">
      <w:start w:val="1"/>
      <w:numFmt w:val="decimal"/>
      <w:lvlText w:val="%4."/>
      <w:lvlJc w:val="left"/>
      <w:pPr>
        <w:ind w:left="4043" w:hanging="360"/>
      </w:pPr>
    </w:lvl>
    <w:lvl w:ilvl="4" w:tplc="0C0A0019" w:tentative="1">
      <w:start w:val="1"/>
      <w:numFmt w:val="lowerLetter"/>
      <w:lvlText w:val="%5."/>
      <w:lvlJc w:val="left"/>
      <w:pPr>
        <w:ind w:left="4763" w:hanging="360"/>
      </w:pPr>
    </w:lvl>
    <w:lvl w:ilvl="5" w:tplc="0C0A001B" w:tentative="1">
      <w:start w:val="1"/>
      <w:numFmt w:val="lowerRoman"/>
      <w:lvlText w:val="%6."/>
      <w:lvlJc w:val="right"/>
      <w:pPr>
        <w:ind w:left="5483" w:hanging="180"/>
      </w:pPr>
    </w:lvl>
    <w:lvl w:ilvl="6" w:tplc="0C0A000F" w:tentative="1">
      <w:start w:val="1"/>
      <w:numFmt w:val="decimal"/>
      <w:lvlText w:val="%7."/>
      <w:lvlJc w:val="left"/>
      <w:pPr>
        <w:ind w:left="6203" w:hanging="360"/>
      </w:pPr>
    </w:lvl>
    <w:lvl w:ilvl="7" w:tplc="0C0A0019" w:tentative="1">
      <w:start w:val="1"/>
      <w:numFmt w:val="lowerLetter"/>
      <w:lvlText w:val="%8."/>
      <w:lvlJc w:val="left"/>
      <w:pPr>
        <w:ind w:left="6923" w:hanging="360"/>
      </w:pPr>
    </w:lvl>
    <w:lvl w:ilvl="8" w:tplc="0C0A001B" w:tentative="1">
      <w:start w:val="1"/>
      <w:numFmt w:val="lowerRoman"/>
      <w:lvlText w:val="%9."/>
      <w:lvlJc w:val="right"/>
      <w:pPr>
        <w:ind w:left="7643" w:hanging="180"/>
      </w:pPr>
    </w:lvl>
  </w:abstractNum>
  <w:abstractNum w:abstractNumId="3">
    <w:nsid w:val="1B456DE0"/>
    <w:multiLevelType w:val="hybridMultilevel"/>
    <w:tmpl w:val="CF7E96C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AF5B91"/>
    <w:multiLevelType w:val="hybridMultilevel"/>
    <w:tmpl w:val="42CE552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0140B"/>
    <w:multiLevelType w:val="hybridMultilevel"/>
    <w:tmpl w:val="B65C7224"/>
    <w:lvl w:ilvl="0" w:tplc="ABB84C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9FD0C24"/>
    <w:multiLevelType w:val="hybridMultilevel"/>
    <w:tmpl w:val="F0FCB0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3A38B8"/>
    <w:multiLevelType w:val="hybridMultilevel"/>
    <w:tmpl w:val="02D29D5E"/>
    <w:lvl w:ilvl="0" w:tplc="4B349C8E">
      <w:start w:val="1"/>
      <w:numFmt w:val="decimal"/>
      <w:lvlText w:val="%1."/>
      <w:lvlJc w:val="left"/>
      <w:pPr>
        <w:ind w:left="1095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815" w:hanging="360"/>
      </w:pPr>
    </w:lvl>
    <w:lvl w:ilvl="2" w:tplc="0C0A001B" w:tentative="1">
      <w:start w:val="1"/>
      <w:numFmt w:val="lowerRoman"/>
      <w:lvlText w:val="%3."/>
      <w:lvlJc w:val="right"/>
      <w:pPr>
        <w:ind w:left="2535" w:hanging="180"/>
      </w:pPr>
    </w:lvl>
    <w:lvl w:ilvl="3" w:tplc="0C0A000F" w:tentative="1">
      <w:start w:val="1"/>
      <w:numFmt w:val="decimal"/>
      <w:lvlText w:val="%4."/>
      <w:lvlJc w:val="left"/>
      <w:pPr>
        <w:ind w:left="3255" w:hanging="360"/>
      </w:pPr>
    </w:lvl>
    <w:lvl w:ilvl="4" w:tplc="0C0A0019" w:tentative="1">
      <w:start w:val="1"/>
      <w:numFmt w:val="lowerLetter"/>
      <w:lvlText w:val="%5."/>
      <w:lvlJc w:val="left"/>
      <w:pPr>
        <w:ind w:left="3975" w:hanging="360"/>
      </w:pPr>
    </w:lvl>
    <w:lvl w:ilvl="5" w:tplc="0C0A001B" w:tentative="1">
      <w:start w:val="1"/>
      <w:numFmt w:val="lowerRoman"/>
      <w:lvlText w:val="%6."/>
      <w:lvlJc w:val="right"/>
      <w:pPr>
        <w:ind w:left="4695" w:hanging="180"/>
      </w:pPr>
    </w:lvl>
    <w:lvl w:ilvl="6" w:tplc="0C0A000F" w:tentative="1">
      <w:start w:val="1"/>
      <w:numFmt w:val="decimal"/>
      <w:lvlText w:val="%7."/>
      <w:lvlJc w:val="left"/>
      <w:pPr>
        <w:ind w:left="5415" w:hanging="360"/>
      </w:pPr>
    </w:lvl>
    <w:lvl w:ilvl="7" w:tplc="0C0A0019" w:tentative="1">
      <w:start w:val="1"/>
      <w:numFmt w:val="lowerLetter"/>
      <w:lvlText w:val="%8."/>
      <w:lvlJc w:val="left"/>
      <w:pPr>
        <w:ind w:left="6135" w:hanging="360"/>
      </w:pPr>
    </w:lvl>
    <w:lvl w:ilvl="8" w:tplc="0C0A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8">
    <w:nsid w:val="315B2D90"/>
    <w:multiLevelType w:val="hybridMultilevel"/>
    <w:tmpl w:val="D44865C2"/>
    <w:lvl w:ilvl="0" w:tplc="04FEDA2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6232619"/>
    <w:multiLevelType w:val="hybridMultilevel"/>
    <w:tmpl w:val="8324A0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3768B9"/>
    <w:multiLevelType w:val="hybridMultilevel"/>
    <w:tmpl w:val="812CE518"/>
    <w:lvl w:ilvl="0" w:tplc="0C0A0017">
      <w:start w:val="1"/>
      <w:numFmt w:val="lowerLetter"/>
      <w:lvlText w:val="%1)"/>
      <w:lvlJc w:val="left"/>
      <w:pPr>
        <w:ind w:left="1523" w:hanging="360"/>
      </w:pPr>
    </w:lvl>
    <w:lvl w:ilvl="1" w:tplc="0C0A0019" w:tentative="1">
      <w:start w:val="1"/>
      <w:numFmt w:val="lowerLetter"/>
      <w:lvlText w:val="%2."/>
      <w:lvlJc w:val="left"/>
      <w:pPr>
        <w:ind w:left="2243" w:hanging="360"/>
      </w:pPr>
    </w:lvl>
    <w:lvl w:ilvl="2" w:tplc="0C0A001B" w:tentative="1">
      <w:start w:val="1"/>
      <w:numFmt w:val="lowerRoman"/>
      <w:lvlText w:val="%3."/>
      <w:lvlJc w:val="right"/>
      <w:pPr>
        <w:ind w:left="2963" w:hanging="180"/>
      </w:pPr>
    </w:lvl>
    <w:lvl w:ilvl="3" w:tplc="0C0A000F" w:tentative="1">
      <w:start w:val="1"/>
      <w:numFmt w:val="decimal"/>
      <w:lvlText w:val="%4."/>
      <w:lvlJc w:val="left"/>
      <w:pPr>
        <w:ind w:left="3683" w:hanging="360"/>
      </w:pPr>
    </w:lvl>
    <w:lvl w:ilvl="4" w:tplc="0C0A0019" w:tentative="1">
      <w:start w:val="1"/>
      <w:numFmt w:val="lowerLetter"/>
      <w:lvlText w:val="%5."/>
      <w:lvlJc w:val="left"/>
      <w:pPr>
        <w:ind w:left="4403" w:hanging="360"/>
      </w:pPr>
    </w:lvl>
    <w:lvl w:ilvl="5" w:tplc="0C0A001B" w:tentative="1">
      <w:start w:val="1"/>
      <w:numFmt w:val="lowerRoman"/>
      <w:lvlText w:val="%6."/>
      <w:lvlJc w:val="right"/>
      <w:pPr>
        <w:ind w:left="5123" w:hanging="180"/>
      </w:pPr>
    </w:lvl>
    <w:lvl w:ilvl="6" w:tplc="0C0A000F" w:tentative="1">
      <w:start w:val="1"/>
      <w:numFmt w:val="decimal"/>
      <w:lvlText w:val="%7."/>
      <w:lvlJc w:val="left"/>
      <w:pPr>
        <w:ind w:left="5843" w:hanging="360"/>
      </w:pPr>
    </w:lvl>
    <w:lvl w:ilvl="7" w:tplc="0C0A0019" w:tentative="1">
      <w:start w:val="1"/>
      <w:numFmt w:val="lowerLetter"/>
      <w:lvlText w:val="%8."/>
      <w:lvlJc w:val="left"/>
      <w:pPr>
        <w:ind w:left="6563" w:hanging="360"/>
      </w:pPr>
    </w:lvl>
    <w:lvl w:ilvl="8" w:tplc="0C0A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1">
    <w:nsid w:val="490C26CE"/>
    <w:multiLevelType w:val="hybridMultilevel"/>
    <w:tmpl w:val="B43AB8FE"/>
    <w:lvl w:ilvl="0" w:tplc="D812CCCE">
      <w:start w:val="1"/>
      <w:numFmt w:val="lowerLetter"/>
      <w:lvlText w:val="%1)"/>
      <w:lvlJc w:val="left"/>
      <w:pPr>
        <w:ind w:left="1776" w:hanging="360"/>
      </w:pPr>
      <w:rPr>
        <w:rFonts w:hint="default"/>
        <w:b/>
        <w:i w:val="0"/>
      </w:rPr>
    </w:lvl>
    <w:lvl w:ilvl="1" w:tplc="0100B1DA">
      <w:start w:val="1"/>
      <w:numFmt w:val="lowerLetter"/>
      <w:lvlText w:val="%2)"/>
      <w:lvlJc w:val="left"/>
      <w:pPr>
        <w:ind w:left="2496" w:hanging="360"/>
      </w:pPr>
      <w:rPr>
        <w:rFonts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ind w:left="3216" w:hanging="180"/>
      </w:pPr>
    </w:lvl>
    <w:lvl w:ilvl="3" w:tplc="0C0A000F">
      <w:start w:val="1"/>
      <w:numFmt w:val="decimal"/>
      <w:lvlText w:val="%4."/>
      <w:lvlJc w:val="left"/>
      <w:pPr>
        <w:ind w:left="3936" w:hanging="360"/>
      </w:pPr>
    </w:lvl>
    <w:lvl w:ilvl="4" w:tplc="0C0A0019">
      <w:start w:val="1"/>
      <w:numFmt w:val="lowerLetter"/>
      <w:lvlText w:val="%5."/>
      <w:lvlJc w:val="left"/>
      <w:pPr>
        <w:ind w:left="4656" w:hanging="360"/>
      </w:pPr>
    </w:lvl>
    <w:lvl w:ilvl="5" w:tplc="0C0A001B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52653909"/>
    <w:multiLevelType w:val="hybridMultilevel"/>
    <w:tmpl w:val="B6AE9EBE"/>
    <w:lvl w:ilvl="0" w:tplc="4CFE2B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BB7C67"/>
    <w:multiLevelType w:val="hybridMultilevel"/>
    <w:tmpl w:val="9B188F2A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B09E517C">
      <w:start w:val="1"/>
      <w:numFmt w:val="lowerLetter"/>
      <w:lvlText w:val="%2)"/>
      <w:lvlJc w:val="left"/>
      <w:pPr>
        <w:ind w:left="1800" w:hanging="360"/>
      </w:pPr>
      <w:rPr>
        <w:rFonts w:hint="default"/>
        <w:sz w:val="18"/>
      </w:r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BDC6317"/>
    <w:multiLevelType w:val="hybridMultilevel"/>
    <w:tmpl w:val="BA1EAD24"/>
    <w:lvl w:ilvl="0" w:tplc="F32A198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8923FE"/>
    <w:multiLevelType w:val="hybridMultilevel"/>
    <w:tmpl w:val="F5902096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5B6F23"/>
    <w:multiLevelType w:val="hybridMultilevel"/>
    <w:tmpl w:val="64CAF568"/>
    <w:lvl w:ilvl="0" w:tplc="9FA2A1C2">
      <w:start w:val="1"/>
      <w:numFmt w:val="lowerLetter"/>
      <w:lvlText w:val="%1)"/>
      <w:lvlJc w:val="left"/>
      <w:pPr>
        <w:ind w:left="1068" w:hanging="360"/>
      </w:pPr>
      <w:rPr>
        <w:rFonts w:hint="default"/>
        <w:b/>
        <w:i w:val="0"/>
      </w:rPr>
    </w:lvl>
    <w:lvl w:ilvl="1" w:tplc="0100B1DA">
      <w:start w:val="1"/>
      <w:numFmt w:val="lowerLetter"/>
      <w:lvlText w:val="%2)"/>
      <w:lvlJc w:val="left"/>
      <w:pPr>
        <w:ind w:left="1788" w:hanging="360"/>
      </w:pPr>
      <w:rPr>
        <w:rFonts w:hint="default"/>
        <w:b/>
        <w:i w:val="0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F6D73BF"/>
    <w:multiLevelType w:val="hybridMultilevel"/>
    <w:tmpl w:val="55DC5730"/>
    <w:lvl w:ilvl="0" w:tplc="6DEC7E12">
      <w:start w:val="1"/>
      <w:numFmt w:val="lowerLetter"/>
      <w:lvlText w:val="%1)"/>
      <w:lvlJc w:val="left"/>
      <w:pPr>
        <w:ind w:left="152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243" w:hanging="360"/>
      </w:pPr>
    </w:lvl>
    <w:lvl w:ilvl="2" w:tplc="0C0A001B" w:tentative="1">
      <w:start w:val="1"/>
      <w:numFmt w:val="lowerRoman"/>
      <w:lvlText w:val="%3."/>
      <w:lvlJc w:val="right"/>
      <w:pPr>
        <w:ind w:left="2963" w:hanging="180"/>
      </w:pPr>
    </w:lvl>
    <w:lvl w:ilvl="3" w:tplc="0C0A000F" w:tentative="1">
      <w:start w:val="1"/>
      <w:numFmt w:val="decimal"/>
      <w:lvlText w:val="%4."/>
      <w:lvlJc w:val="left"/>
      <w:pPr>
        <w:ind w:left="3683" w:hanging="360"/>
      </w:pPr>
    </w:lvl>
    <w:lvl w:ilvl="4" w:tplc="0C0A0019" w:tentative="1">
      <w:start w:val="1"/>
      <w:numFmt w:val="lowerLetter"/>
      <w:lvlText w:val="%5."/>
      <w:lvlJc w:val="left"/>
      <w:pPr>
        <w:ind w:left="4403" w:hanging="360"/>
      </w:pPr>
    </w:lvl>
    <w:lvl w:ilvl="5" w:tplc="0C0A001B" w:tentative="1">
      <w:start w:val="1"/>
      <w:numFmt w:val="lowerRoman"/>
      <w:lvlText w:val="%6."/>
      <w:lvlJc w:val="right"/>
      <w:pPr>
        <w:ind w:left="5123" w:hanging="180"/>
      </w:pPr>
    </w:lvl>
    <w:lvl w:ilvl="6" w:tplc="0C0A000F" w:tentative="1">
      <w:start w:val="1"/>
      <w:numFmt w:val="decimal"/>
      <w:lvlText w:val="%7."/>
      <w:lvlJc w:val="left"/>
      <w:pPr>
        <w:ind w:left="5843" w:hanging="360"/>
      </w:pPr>
    </w:lvl>
    <w:lvl w:ilvl="7" w:tplc="0C0A0019" w:tentative="1">
      <w:start w:val="1"/>
      <w:numFmt w:val="lowerLetter"/>
      <w:lvlText w:val="%8."/>
      <w:lvlJc w:val="left"/>
      <w:pPr>
        <w:ind w:left="6563" w:hanging="360"/>
      </w:pPr>
    </w:lvl>
    <w:lvl w:ilvl="8" w:tplc="0C0A001B" w:tentative="1">
      <w:start w:val="1"/>
      <w:numFmt w:val="lowerRoman"/>
      <w:lvlText w:val="%9."/>
      <w:lvlJc w:val="right"/>
      <w:pPr>
        <w:ind w:left="7283" w:hanging="180"/>
      </w:pPr>
    </w:lvl>
  </w:abstractNum>
  <w:abstractNum w:abstractNumId="18">
    <w:nsid w:val="72707700"/>
    <w:multiLevelType w:val="hybridMultilevel"/>
    <w:tmpl w:val="2822FAD0"/>
    <w:lvl w:ilvl="0" w:tplc="123C05CC">
      <w:start w:val="5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4"/>
  </w:num>
  <w:num w:numId="4">
    <w:abstractNumId w:val="5"/>
  </w:num>
  <w:num w:numId="5">
    <w:abstractNumId w:val="13"/>
  </w:num>
  <w:num w:numId="6">
    <w:abstractNumId w:val="16"/>
  </w:num>
  <w:num w:numId="7">
    <w:abstractNumId w:val="7"/>
  </w:num>
  <w:num w:numId="8">
    <w:abstractNumId w:val="11"/>
  </w:num>
  <w:num w:numId="9">
    <w:abstractNumId w:val="15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0"/>
  </w:num>
  <w:num w:numId="15">
    <w:abstractNumId w:val="17"/>
  </w:num>
  <w:num w:numId="16">
    <w:abstractNumId w:val="9"/>
  </w:num>
  <w:num w:numId="17">
    <w:abstractNumId w:val="3"/>
  </w:num>
  <w:num w:numId="18">
    <w:abstractNumId w:val="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0D2"/>
    <w:rsid w:val="000010BA"/>
    <w:rsid w:val="00013536"/>
    <w:rsid w:val="00015AFD"/>
    <w:rsid w:val="00037C1F"/>
    <w:rsid w:val="0005214E"/>
    <w:rsid w:val="00064A0F"/>
    <w:rsid w:val="0008269D"/>
    <w:rsid w:val="00095892"/>
    <w:rsid w:val="00097B95"/>
    <w:rsid w:val="000B2F0B"/>
    <w:rsid w:val="000E14AB"/>
    <w:rsid w:val="000E2852"/>
    <w:rsid w:val="000E7651"/>
    <w:rsid w:val="00116200"/>
    <w:rsid w:val="00121B87"/>
    <w:rsid w:val="00130BDE"/>
    <w:rsid w:val="00135F95"/>
    <w:rsid w:val="00146C64"/>
    <w:rsid w:val="00157782"/>
    <w:rsid w:val="00160751"/>
    <w:rsid w:val="00161693"/>
    <w:rsid w:val="00166674"/>
    <w:rsid w:val="0018718B"/>
    <w:rsid w:val="0018779E"/>
    <w:rsid w:val="00196005"/>
    <w:rsid w:val="001A13CC"/>
    <w:rsid w:val="001A1F9C"/>
    <w:rsid w:val="001B17C0"/>
    <w:rsid w:val="001C2460"/>
    <w:rsid w:val="001F30A6"/>
    <w:rsid w:val="001F6DE4"/>
    <w:rsid w:val="00207391"/>
    <w:rsid w:val="00221865"/>
    <w:rsid w:val="00230870"/>
    <w:rsid w:val="00242EA3"/>
    <w:rsid w:val="00244ABA"/>
    <w:rsid w:val="00252467"/>
    <w:rsid w:val="00266267"/>
    <w:rsid w:val="00270B5F"/>
    <w:rsid w:val="002B0EC9"/>
    <w:rsid w:val="002E35C4"/>
    <w:rsid w:val="002F1A19"/>
    <w:rsid w:val="002F6B25"/>
    <w:rsid w:val="00301FE0"/>
    <w:rsid w:val="003166EE"/>
    <w:rsid w:val="00322F38"/>
    <w:rsid w:val="00330B31"/>
    <w:rsid w:val="0033360D"/>
    <w:rsid w:val="0033380D"/>
    <w:rsid w:val="00354DE3"/>
    <w:rsid w:val="003715C2"/>
    <w:rsid w:val="0038130B"/>
    <w:rsid w:val="00392CF4"/>
    <w:rsid w:val="003A0EA2"/>
    <w:rsid w:val="003A697A"/>
    <w:rsid w:val="003A71BD"/>
    <w:rsid w:val="003D3496"/>
    <w:rsid w:val="003E1068"/>
    <w:rsid w:val="0041028E"/>
    <w:rsid w:val="00412BBD"/>
    <w:rsid w:val="00422638"/>
    <w:rsid w:val="004410E5"/>
    <w:rsid w:val="00443A0F"/>
    <w:rsid w:val="0044561A"/>
    <w:rsid w:val="004617CD"/>
    <w:rsid w:val="004656FE"/>
    <w:rsid w:val="0048164E"/>
    <w:rsid w:val="004A0BFE"/>
    <w:rsid w:val="004A7765"/>
    <w:rsid w:val="004F7831"/>
    <w:rsid w:val="0050418A"/>
    <w:rsid w:val="00523F7A"/>
    <w:rsid w:val="005644FE"/>
    <w:rsid w:val="00575EFC"/>
    <w:rsid w:val="005849F7"/>
    <w:rsid w:val="00586818"/>
    <w:rsid w:val="005A5139"/>
    <w:rsid w:val="005A6755"/>
    <w:rsid w:val="005B2E60"/>
    <w:rsid w:val="005B5BD1"/>
    <w:rsid w:val="005C3605"/>
    <w:rsid w:val="005C41F4"/>
    <w:rsid w:val="005C6F46"/>
    <w:rsid w:val="005D44FC"/>
    <w:rsid w:val="00622663"/>
    <w:rsid w:val="00642F57"/>
    <w:rsid w:val="006800D2"/>
    <w:rsid w:val="0069194E"/>
    <w:rsid w:val="006F745C"/>
    <w:rsid w:val="007327E1"/>
    <w:rsid w:val="00742CA2"/>
    <w:rsid w:val="00743346"/>
    <w:rsid w:val="00772BEA"/>
    <w:rsid w:val="00772EF8"/>
    <w:rsid w:val="00791DF8"/>
    <w:rsid w:val="007A566F"/>
    <w:rsid w:val="007F1F73"/>
    <w:rsid w:val="007F1FE9"/>
    <w:rsid w:val="0081180D"/>
    <w:rsid w:val="00812769"/>
    <w:rsid w:val="0083766E"/>
    <w:rsid w:val="008D7114"/>
    <w:rsid w:val="008E1874"/>
    <w:rsid w:val="008E776B"/>
    <w:rsid w:val="009024F6"/>
    <w:rsid w:val="00910553"/>
    <w:rsid w:val="00922CA5"/>
    <w:rsid w:val="009341C5"/>
    <w:rsid w:val="00957A9B"/>
    <w:rsid w:val="00964CE1"/>
    <w:rsid w:val="00965427"/>
    <w:rsid w:val="00965959"/>
    <w:rsid w:val="0097579C"/>
    <w:rsid w:val="009B19C5"/>
    <w:rsid w:val="009B34C5"/>
    <w:rsid w:val="009C0C1D"/>
    <w:rsid w:val="009C0E94"/>
    <w:rsid w:val="009F0FAC"/>
    <w:rsid w:val="009F7AE7"/>
    <w:rsid w:val="00A650E6"/>
    <w:rsid w:val="00AB6DA0"/>
    <w:rsid w:val="00AD1612"/>
    <w:rsid w:val="00AE7BB5"/>
    <w:rsid w:val="00AF2053"/>
    <w:rsid w:val="00B0217B"/>
    <w:rsid w:val="00B034BE"/>
    <w:rsid w:val="00B34610"/>
    <w:rsid w:val="00B50D32"/>
    <w:rsid w:val="00B776F5"/>
    <w:rsid w:val="00B806A8"/>
    <w:rsid w:val="00B813F6"/>
    <w:rsid w:val="00C02A3C"/>
    <w:rsid w:val="00C21765"/>
    <w:rsid w:val="00C26E32"/>
    <w:rsid w:val="00C30F3F"/>
    <w:rsid w:val="00C3201A"/>
    <w:rsid w:val="00C5794C"/>
    <w:rsid w:val="00C610B8"/>
    <w:rsid w:val="00C76AE7"/>
    <w:rsid w:val="00CA7FF4"/>
    <w:rsid w:val="00CF1DED"/>
    <w:rsid w:val="00CF30C9"/>
    <w:rsid w:val="00D026CA"/>
    <w:rsid w:val="00D13545"/>
    <w:rsid w:val="00D210D7"/>
    <w:rsid w:val="00D2405A"/>
    <w:rsid w:val="00D33A07"/>
    <w:rsid w:val="00D66EA2"/>
    <w:rsid w:val="00D854A1"/>
    <w:rsid w:val="00D86CC6"/>
    <w:rsid w:val="00DB4FF0"/>
    <w:rsid w:val="00DD15B9"/>
    <w:rsid w:val="00DF0B86"/>
    <w:rsid w:val="00DF169D"/>
    <w:rsid w:val="00DF55CF"/>
    <w:rsid w:val="00E030FE"/>
    <w:rsid w:val="00E11285"/>
    <w:rsid w:val="00E239F3"/>
    <w:rsid w:val="00E23DE3"/>
    <w:rsid w:val="00E269D8"/>
    <w:rsid w:val="00E30371"/>
    <w:rsid w:val="00E4702D"/>
    <w:rsid w:val="00E60B8A"/>
    <w:rsid w:val="00E75E6F"/>
    <w:rsid w:val="00E82547"/>
    <w:rsid w:val="00E8322D"/>
    <w:rsid w:val="00E86069"/>
    <w:rsid w:val="00E9565C"/>
    <w:rsid w:val="00E966E9"/>
    <w:rsid w:val="00EC2B73"/>
    <w:rsid w:val="00EC360B"/>
    <w:rsid w:val="00EE67D5"/>
    <w:rsid w:val="00EE6F47"/>
    <w:rsid w:val="00F026C4"/>
    <w:rsid w:val="00F06382"/>
    <w:rsid w:val="00F672B3"/>
    <w:rsid w:val="00F80043"/>
    <w:rsid w:val="00F9240A"/>
    <w:rsid w:val="00FA1C91"/>
    <w:rsid w:val="00FB03CE"/>
    <w:rsid w:val="00FB30FE"/>
    <w:rsid w:val="00FC1DFD"/>
    <w:rsid w:val="00FC5647"/>
    <w:rsid w:val="00FC63EA"/>
    <w:rsid w:val="00FE280D"/>
    <w:rsid w:val="00FF1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0D2"/>
  </w:style>
  <w:style w:type="paragraph" w:styleId="Piedepgina">
    <w:name w:val="footer"/>
    <w:basedOn w:val="Normal"/>
    <w:link w:val="Piedepgina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D2"/>
  </w:style>
  <w:style w:type="paragraph" w:styleId="Textodeglobo">
    <w:name w:val="Balloon Text"/>
    <w:basedOn w:val="Normal"/>
    <w:link w:val="TextodegloboCar"/>
    <w:uiPriority w:val="99"/>
    <w:semiHidden/>
    <w:unhideWhenUsed/>
    <w:rsid w:val="006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0D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9B19C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9194E"/>
    <w:pPr>
      <w:ind w:left="720"/>
      <w:contextualSpacing/>
    </w:pPr>
  </w:style>
  <w:style w:type="character" w:styleId="Hipervnculo">
    <w:name w:val="Hyperlink"/>
    <w:basedOn w:val="Fuentedeprrafopredeter"/>
    <w:rsid w:val="00116200"/>
    <w:rPr>
      <w:color w:val="0000FF"/>
      <w:u w:val="single"/>
    </w:rPr>
  </w:style>
  <w:style w:type="paragraph" w:customStyle="1" w:styleId="ROMANOS">
    <w:name w:val="ROMANOS"/>
    <w:basedOn w:val="Normal"/>
    <w:link w:val="ROMANOSCar"/>
    <w:rsid w:val="0011620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basedOn w:val="Fuentedeprrafopredeter"/>
    <w:link w:val="ROMANOS"/>
    <w:rsid w:val="00116200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20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200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6200"/>
    <w:rPr>
      <w:vertAlign w:val="superscript"/>
    </w:rPr>
  </w:style>
  <w:style w:type="character" w:customStyle="1" w:styleId="TextoCar">
    <w:name w:val="Texto Car"/>
    <w:basedOn w:val="Fuentedeprrafopredeter"/>
    <w:link w:val="Texto"/>
    <w:rsid w:val="0011620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SUBIN">
    <w:name w:val="SUBIN"/>
    <w:basedOn w:val="Texto"/>
    <w:rsid w:val="00C76AE7"/>
    <w:pPr>
      <w:ind w:left="1987" w:hanging="720"/>
    </w:pPr>
    <w:rPr>
      <w:lang w:val="es-MX"/>
    </w:rPr>
  </w:style>
  <w:style w:type="paragraph" w:customStyle="1" w:styleId="INCISO">
    <w:name w:val="INCISO"/>
    <w:basedOn w:val="Normal"/>
    <w:rsid w:val="00E269D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7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7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7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7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7E1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800D2"/>
  </w:style>
  <w:style w:type="paragraph" w:styleId="Piedepgina">
    <w:name w:val="footer"/>
    <w:basedOn w:val="Normal"/>
    <w:link w:val="PiedepginaCar"/>
    <w:uiPriority w:val="99"/>
    <w:unhideWhenUsed/>
    <w:rsid w:val="006800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0D2"/>
  </w:style>
  <w:style w:type="paragraph" w:styleId="Textodeglobo">
    <w:name w:val="Balloon Text"/>
    <w:basedOn w:val="Normal"/>
    <w:link w:val="TextodegloboCar"/>
    <w:uiPriority w:val="99"/>
    <w:semiHidden/>
    <w:unhideWhenUsed/>
    <w:rsid w:val="00680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00D2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link w:val="TextoCar"/>
    <w:rsid w:val="009B19C5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69194E"/>
    <w:pPr>
      <w:ind w:left="720"/>
      <w:contextualSpacing/>
    </w:pPr>
  </w:style>
  <w:style w:type="character" w:styleId="Hipervnculo">
    <w:name w:val="Hyperlink"/>
    <w:basedOn w:val="Fuentedeprrafopredeter"/>
    <w:rsid w:val="00116200"/>
    <w:rPr>
      <w:color w:val="0000FF"/>
      <w:u w:val="single"/>
    </w:rPr>
  </w:style>
  <w:style w:type="paragraph" w:customStyle="1" w:styleId="ROMANOS">
    <w:name w:val="ROMANOS"/>
    <w:basedOn w:val="Normal"/>
    <w:link w:val="ROMANOSCar"/>
    <w:rsid w:val="00116200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ROMANOSCar">
    <w:name w:val="ROMANOS Car"/>
    <w:basedOn w:val="Fuentedeprrafopredeter"/>
    <w:link w:val="ROMANOS"/>
    <w:rsid w:val="00116200"/>
    <w:rPr>
      <w:rFonts w:ascii="Arial" w:eastAsia="Times New Roman" w:hAnsi="Arial" w:cs="Arial"/>
      <w:sz w:val="18"/>
      <w:szCs w:val="1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16200"/>
    <w:pPr>
      <w:spacing w:after="0" w:line="240" w:lineRule="auto"/>
    </w:pPr>
    <w:rPr>
      <w:rFonts w:ascii="Calibri" w:eastAsia="Calibri" w:hAnsi="Calibri" w:cs="Times New Roman"/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16200"/>
    <w:rPr>
      <w:rFonts w:ascii="Calibri" w:eastAsia="Calibri" w:hAnsi="Calibri" w:cs="Times New Roman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16200"/>
    <w:rPr>
      <w:vertAlign w:val="superscript"/>
    </w:rPr>
  </w:style>
  <w:style w:type="character" w:customStyle="1" w:styleId="TextoCar">
    <w:name w:val="Texto Car"/>
    <w:basedOn w:val="Fuentedeprrafopredeter"/>
    <w:link w:val="Texto"/>
    <w:rsid w:val="00116200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SUBIN">
    <w:name w:val="SUBIN"/>
    <w:basedOn w:val="Texto"/>
    <w:rsid w:val="00C76AE7"/>
    <w:pPr>
      <w:ind w:left="1987" w:hanging="720"/>
    </w:pPr>
    <w:rPr>
      <w:lang w:val="es-MX"/>
    </w:rPr>
  </w:style>
  <w:style w:type="paragraph" w:customStyle="1" w:styleId="INCISO">
    <w:name w:val="INCISO"/>
    <w:basedOn w:val="Normal"/>
    <w:rsid w:val="00E269D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7327E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327E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327E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327E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327E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3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pifi.sep.gob.mx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oogle.com.mx/imgres?imgurl=http://www.sfa.uan.mx/contraloriasoc/Images/logo_contraloria_social.jpg&amp;imgrefurl=http://www.sfa.uan.mx/contraloriasoc/requisitos.html&amp;usg=__XJ2aQzuwg6IpXa5peZQzZ281-Nc=&amp;h=760&amp;w=864&amp;sz=197&amp;hl=es&amp;start=2&amp;zoom=1&amp;itbs=1&amp;tbnid=qVMQpb-Ikn6VAM:&amp;tbnh=128&amp;tbnw=145&amp;prev=/images?q=contraloria+social&amp;hl=es&amp;gbv=2&amp;tbs=isch:1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quejasydenucnias@cgut.sep.gob.mx" TargetMode="External"/><Relationship Id="rId10" Type="http://schemas.openxmlformats.org/officeDocument/2006/relationships/image" Target="media/image2.gif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pifi.sep.gob.mx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://www.google.com.mx/imgres?imgurl=http://www.sfa.uan.mx/contraloriasoc/Images/logo_contraloria_social.jpg&amp;imgrefurl=http://www.sfa.uan.mx/contraloriasoc/requisitos.html&amp;usg=__XJ2aQzuwg6IpXa5peZQzZ281-Nc=&amp;h=760&amp;w=864&amp;sz=197&amp;hl=es&amp;start=2&amp;zoom=1&amp;itbs=1&amp;tbnid=qVMQpb-Ikn6VAM:&amp;tbnh=128&amp;tbnw=145&amp;prev=/images?q=contraloria+social&amp;hl=es&amp;gbv=2&amp;tbs=isch: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BB8AB-E264-42F3-9455-F2B5F939A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2944</Words>
  <Characters>16192</Characters>
  <Application>Microsoft Office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19098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SONIA TAPIA GARCIA</cp:lastModifiedBy>
  <cp:revision>7</cp:revision>
  <cp:lastPrinted>2012-01-18T20:02:00Z</cp:lastPrinted>
  <dcterms:created xsi:type="dcterms:W3CDTF">2012-06-25T20:05:00Z</dcterms:created>
  <dcterms:modified xsi:type="dcterms:W3CDTF">2012-07-19T20:18:00Z</dcterms:modified>
</cp:coreProperties>
</file>